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Open Sans" w:cs="Open Sans" w:eastAsia="Open Sans" w:hAnsi="Open Sans"/>
          <w:b/>
          <w:bCs/>
          <w:color w:val="01696F"/>
          <w:sz w:val="32"/>
          <w:szCs w:val="32"/>
        </w:rPr>
        <w:t xml:space="preserve">Manager guidance — impairment at work</w:t>
      </w:r>
    </w:p>
    <w:p>
      <w:pPr>
        <w:spacing w:after="120" w:line="28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Who this is for.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Anyone at ⟨organisation⟩ who supervises other people. It supports sections 5, 9 and 10 of the drug and alcohol policy — if this guidance and the policy ever appear to differ, the policy applies.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1. Your role — and its limits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You are not expected to diagnose anything, prove anything or run an investigation. Your role has exactly three parts: notice, act on safety, and escalate. Everything else — testing, medical review, disciplinary decisions — belongs to other people under the policy.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2. Noticing possible impairment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Signs that may indicate impairment include: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smell of alcohol; slurred or unusually slow speech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unsteadiness, poor coordination, drowsiness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unusually erratic, aggressive or withdrawn behaviour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glazed or bloodshot eyes, unusually large or small pupils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a marked change in work quality, timekeeping or judgement</w:t>
      </w:r>
    </w:p>
    <w:p>
      <w:pPr>
        <w:spacing w:after="60"/>
      </w:pP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None of these is proof. Every one of them has innocent explanations — medication, fatigue, illness, diabetes, stress, a neurological condition. That is exactly why the policy uses testing and medical review rather than a manager’s opinion. Your observation starts the process; it never concludes it.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3. Act on safety first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If you reasonably believe someone may be unfit for duty:</w:t>
      </w:r>
    </w:p>
    <w:p>
      <w:pPr>
        <w:pStyle w:val="ListParagraph"/>
        <w:numPr>
          <w:ilvl w:val="0"/>
          <w:numId w:val="3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Remove them from the work calmly and without public discussion — especially from safety-critical duties such as ⟨safety-critical list⟩, and from any driving or equipment operation.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“safety-critical duties such as ⟨safety-critical list⟩” is shown only when safety-critical categories are selected; otherwise the step reads “especially from any driving or equipment operation”.</w:t>
      </w:r>
    </w:p>
    <w:p>
      <w:pPr>
        <w:pStyle w:val="ListParagraph"/>
        <w:numPr>
          <w:ilvl w:val="0"/>
          <w:numId w:val="3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Do not let them drive. If they are stood down, ⟨organisation⟩ helps arrange safe transport home — this is a duty of care, not a punishment, and the policy says so.</w:t>
      </w:r>
    </w:p>
    <w:p>
      <w:pPr>
        <w:pStyle w:val="ListParagraph"/>
        <w:numPr>
          <w:ilvl w:val="0"/>
          <w:numId w:val="3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Treat the stand-down as precautionary and say so: “I need you to stop work while we sort this out” — not “you’re in trouble”.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4. Holding the conversation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Do it privately, with a second manager or HR present where possible. Keep it short and factual.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Describe, don’t accuse.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“I’ve noticed X and Y this morning” — not “you’ve been drinking”.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Ask an open question.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“Is there anything going on that I should know about — anything affecting you at work?”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Listen for the two answers that change everything: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a medication declaration (handled under section 7 of the policy — confidential, no condition disclosed) and a voluntary disclosure of a problem (which the policy treats as a health matter, met with support).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“(which the policy treats as a health matter, met with support)” is shown only when the policy stance is support first.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Do not promise outcomes.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Not “it’ll be fine”, not “this means dismissal”. The process decides outcomes, not you.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Write down what you observed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— factually, at the time, in your own words. Behaviour, times, words used. Your contemporaneous note is what protects both of you later.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Section 5 is shown only when the selected testing types include for cause: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5. Arranging a for-cause test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A for-cause test may be arranged where there is a reasonable belief, based on observed behaviour, appearance or other evidence, that someone may be under the influence.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Record the grounds first.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Before any test is arranged, write down what was observed, by whom and when. A test arranged without recorded grounds is the single most common way workplace testing fails.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Get a second opinion where practicable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— another manager or HR confirming the observation strengthens the grounds and removes any suggestion of one person’s grudge.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Contact ⟨provider⟩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on ⟨provider contact number⟩ to arrange collection. Tell the individual a test is being arranged and why, in the terms recorded.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The contact number is shown only when the provider is NIVHA Laboratory Services, and renders as 02890 737942.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The individual will be told, before deciding, how a refusal is treated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— that is the collector’s script, but do not contradict it. Never suggest refusing “won’t matter”.</w:t>
      </w:r>
    </w:p>
    <w:p>
      <w:pPr>
        <w:pStyle w:val="ListParagraph"/>
        <w:numPr>
          <w:ilvl w:val="0"/>
          <w:numId w:val="4"/>
        </w:numPr>
        <w:spacing w:after="70" w:line="270"/>
        <w:ind w:left="720" w:hanging="360"/>
      </w:pPr>
      <w:r>
        <w:rPr>
          <w:rFonts w:ascii="Open Sans" w:cs="Open Sans" w:eastAsia="Open Sans" w:hAnsi="Open Sans"/>
          <w:b/>
          <w:bCs/>
          <w:color w:val="33312B"/>
          <w:sz w:val="21"/>
          <w:szCs w:val="21"/>
        </w:rPr>
        <w:t xml:space="preserve">Do not collect anything yourself.</w:t>
      </w: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 No sniffing drinks bottles, no searching bags, no photographs, no improvised breathalysers. Collection is done under chain of custody by trained collectors, or the result is worthless.</w:t>
      </w:r>
    </w:p>
    <w:p>
      <w:pPr>
        <w:spacing w:after="60"/>
      </w:pP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While the result is pending, the person remains stood down on full pay. A screening result that is not negative (“non-negative”) is not a positive — it goes to the laboratory for confirmation and medical review. Do not treat it, or describe it, as a fail.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6. What never to do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diagnose (“he’s clearly an alcoholic”) — in writing or otherwise.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discuss one person’s situation with colleagues, or confirm a test happened.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search a person, their bag or vehicle — possession concerns go to ⟨policy owner⟩.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delay a safety decision to be kind. Removing someone from duty protects them too.</w:t>
      </w:r>
    </w:p>
    <w:p>
      <w:pPr>
        <w:pStyle w:val="ListParagraph"/>
        <w:numPr>
          <w:ilvl w:val="0"/>
          <w:numId w:val="2"/>
        </w:numPr>
        <w:spacing w:after="70" w:line="270"/>
        <w:ind w:left="720" w:hanging="36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Never handle a medication disclosure as gossip — it is special category data under section 12 of the policy.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color w:val="28251D"/>
          <w:sz w:val="30"/>
          <w:szCs w:val="30"/>
        </w:rPr>
        <w:t xml:space="preserve">7. Afterwards</w:t>
      </w:r>
    </w:p>
    <w:p>
      <w:pPr>
        <w:spacing w:after="120" w:line="280"/>
      </w:pPr>
      <w:r>
        <w:rPr>
          <w:rFonts w:ascii="Open Sans" w:cs="Open Sans" w:eastAsia="Open Sans" w:hAnsi="Open Sans"/>
          <w:color w:val="33312B"/>
          <w:sz w:val="21"/>
          <w:szCs w:val="21"/>
        </w:rPr>
        <w:t xml:space="preserve">Whatever the outcome — negative result, confirmed violation, or support plan — the person returns to a normal working relationship. Where a return-to-work plan includes monitoring testing, that plan is agreed and confidential; your role is only to support the agreed adjustments. If you are unsure about anything under this guidance, ask ⟨policy owner⟩ before acting rather than after.</w:t>
      </w:r>
    </w:p>
    <w:p>
      <w:pPr>
        <w:spacing w:after="50" w:before="130"/>
      </w:pPr>
      <w:r>
        <w:rPr>
          <w:rFonts w:ascii="Open Sans" w:cs="Open Sans" w:eastAsia="Open Sans" w:hAnsi="Open Sans"/>
          <w:i/>
          <w:iCs/>
          <w:color w:val="7A7974"/>
          <w:sz w:val="17"/>
          <w:szCs w:val="17"/>
        </w:rPr>
        <w:t xml:space="preserve">The sentence beginning “Where a return-to-work plan includes monitoring testing” is shown only when the selected testing types include return to work and monitoring.</w:t>
      </w:r>
    </w:p>
    <w:p>
      <w:pPr>
        <w:spacing w:after="60" w:before="200" w:line="260"/>
      </w:pPr>
      <w:r>
        <w:rPr>
          <w:rFonts w:ascii="Open Sans" w:cs="Open Sans" w:eastAsia="Open Sans" w:hAnsi="Open Sans"/>
          <w:i/>
          <w:iCs/>
          <w:color w:val="7A7974"/>
          <w:sz w:val="18"/>
          <w:szCs w:val="18"/>
        </w:rPr>
        <w:t xml:space="preserve">Supports the ⟨organisation⟩ drug and alcohol policy, version ⟨version⟩, ⟨date⟩. Not legal advice. Prepared with NIVHA Laboratory Services.</w:t>
      </w:r>
    </w:p>
    <w:sectPr>
      <w:headerReference w:type="default" r:id="rId7"/>
      <w:footerReference w:type="default" r:id="rId8"/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color w:val="7A7974"/>
        <w:sz w:val="14"/>
        <w:szCs w:val="14"/>
      </w:rPr>
      <w:t xml:space="preserve">Draft v0.1 for review — 4 August 2026 · prepared with NIVHA Laboratory Services · a template for the organisation to review and adopt — not legal advice.</w:t>
    </w:r>
  </w:p>
  <w:p>
    <w:pPr>
      <w:jc w:val="center"/>
    </w:pPr>
    <w:r>
      <w:rPr>
        <w:rFonts w:ascii="Open Sans" w:cs="Open Sans" w:eastAsia="Open Sans" w:hAnsi="Open Sans"/>
        <w:color w:val="7A7974"/>
        <w:sz w:val="14"/>
        <w:szCs w:val="14"/>
      </w:rPr>
      <w:t xml:space="preserve">Page </w:t>
    </w:r>
    <w:r>
      <w:rPr>
        <w:rFonts w:ascii="Open Sans" w:cs="Open Sans" w:eastAsia="Open Sans" w:hAnsi="Open Sans"/>
        <w:color w:val="7A7974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Open Sans" w:cs="Open Sans" w:eastAsia="Open Sans" w:hAnsi="Open Sans"/>
        <w:color w:val="7A7974"/>
        <w:sz w:val="14"/>
        <w:szCs w:val="14"/>
      </w:rPr>
      <w:t xml:space="preserve"> of </w:t>
    </w:r>
    <w:r>
      <w:rPr>
        <w:rFonts w:ascii="Open Sans" w:cs="Open Sans" w:eastAsia="Open Sans" w:hAnsi="Open Sans"/>
        <w:color w:val="7A7974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Open Sans" w:cs="Open Sans" w:eastAsia="Open Sans" w:hAnsi="Open Sans"/>
        <w:color w:val="7A7974"/>
        <w:sz w:val="15"/>
        <w:szCs w:val="15"/>
      </w:rPr>
      <w:t xml:space="preserve">Manager guidance — ⟨organisation⟩ drug and alcohol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12B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Open Sans" w:cs="Open Sans" w:eastAsia="Open Sans" w:hAnsi="Open Sans"/>
      <w:b/>
      <w:bCs/>
      <w:color w:val="28251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Open Sans" w:cs="Open Sans" w:eastAsia="Open Sans" w:hAnsi="Open Sans"/>
      <w:b/>
      <w:bCs/>
      <w:color w:val="28251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2026-08-04T13:58:55.326Z</dcterms:created>
  <dcterms:modified xsi:type="dcterms:W3CDTF">2026-08-04T13:58:55.326Z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