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Open Sans" w:cs="Open Sans" w:eastAsia="Open Sans" w:hAnsi="Open Sans"/>
          <w:b/>
          <w:bCs/>
          <w:color w:val="01696F"/>
          <w:sz w:val="32"/>
          <w:szCs w:val="32"/>
        </w:rPr>
        <w:t xml:space="preserve">Contract clause wording — drug and alcohol policy</w:t>
      </w:r>
    </w:p>
    <w:p>
      <w:pPr>
        <w:spacing w:after="120" w:line="280"/>
      </w:pPr>
      <w:r>
        <w:rPr>
          <w:rFonts w:ascii="Open Sans" w:cs="Open Sans" w:eastAsia="Open Sans" w:hAnsi="Open Sans"/>
          <w:b/>
          <w:bCs/>
          <w:color w:val="33312B"/>
          <w:sz w:val="21"/>
          <w:szCs w:val="21"/>
        </w:rPr>
        <w:t xml:space="preserve">How to use this document.</w:t>
      </w:r>
      <w:r>
        <w:rPr>
          <w:rFonts w:ascii="Open Sans" w:cs="Open Sans" w:eastAsia="Open Sans" w:hAnsi="Open Sans"/>
          <w:color w:val="33312B"/>
          <w:sz w:val="21"/>
          <w:szCs w:val="21"/>
        </w:rPr>
        <w:t xml:space="preserve"> These clauses tie the ⟨organisation⟩ drug and alcohol policy into your contractual documents. They are templates for review by your own adviser before use — contract variation, in particular, has legal consequences this document cannot cover. This is not legal advice.</w:t>
      </w:r>
    </w:p>
    <w:p>
      <w:pPr>
        <w:spacing w:after="120" w:line="280"/>
      </w:pPr>
      <w:r>
        <w:rPr>
          <w:rFonts w:ascii="Open Sans" w:cs="Open Sans" w:eastAsia="Open Sans" w:hAnsi="Open Sans"/>
          <w:color w:val="7A7974"/>
          <w:sz w:val="19"/>
          <w:szCs w:val="19"/>
        </w:rPr>
        <w:t xml:space="preserve">Included with every policy: a policy without contractual authority is not safely enforceable, so this wording is supplied with the policy and referenced in its accompanying-documents appendix.</w:t>
      </w:r>
    </w:p>
    <w:p>
      <w:pPr>
        <w:spacing w:after="140" w:before="240"/>
      </w:pPr>
      <w:r>
        <w:rPr>
          <w:rFonts w:ascii="Open Sans" w:cs="Open Sans" w:eastAsia="Open Sans" w:hAnsi="Open Sans"/>
          <w:b/>
          <w:bCs/>
          <w:color w:val="28251D"/>
          <w:sz w:val="30"/>
          <w:szCs w:val="30"/>
        </w:rPr>
        <w:t xml:space="preserve">Clause 1 — employment contracts (new starters)</w:t>
      </w:r>
    </w:p>
    <w:p>
      <w:pPr>
        <w:pBdr>
          <w:left w:val="single" w:color="D4D1CA" w:sz="6" w:space="12"/>
        </w:pBdr>
        <w:spacing w:after="140" w:before="100" w:line="300"/>
        <w:ind w:left="480" w:right="240"/>
      </w:pPr>
      <w:r>
        <w:rPr>
          <w:rFonts w:ascii="Open Sans" w:cs="Open Sans" w:eastAsia="Open Sans" w:hAnsi="Open Sans"/>
          <w:b/>
          <w:bCs/>
          <w:color w:val="33312B"/>
          <w:sz w:val="20"/>
          <w:szCs w:val="20"/>
        </w:rPr>
        <w:t xml:space="preserve">Drugs and alcohol.</w:t>
      </w:r>
      <w:r>
        <w:rPr>
          <w:rFonts w:ascii="Open Sans" w:cs="Open Sans" w:eastAsia="Open Sans" w:hAnsi="Open Sans"/>
          <w:color w:val="33312B"/>
          <w:sz w:val="20"/>
          <w:szCs w:val="20"/>
        </w:rPr>
        <w:t xml:space="preserve"> You must comply with the Company’s drug and alcohol policy as amended from time to time, a copy of which is available from ⟨policy owner⟩. The policy does not form part of your contract of employment, save that: (a) you must not report for work, remain at work or carry out any work while impaired by alcohol, drugs or other psychoactive substances;…</w:t>
      </w:r>
    </w:p>
    <w:p>
      <w:pPr>
        <w:spacing w:after="50" w:before="130"/>
      </w:pPr>
      <w:r>
        <w:rPr>
          <w:rFonts w:ascii="Open Sans" w:cs="Open Sans" w:eastAsia="Open Sans" w:hAnsi="Open Sans"/>
          <w:i/>
          <w:iCs/>
          <w:color w:val="7A7974"/>
          <w:sz w:val="17"/>
          <w:szCs w:val="17"/>
        </w:rPr>
        <w:t xml:space="preserve">Limb (b) — shown when a testing programme is active:</w:t>
      </w:r>
    </w:p>
    <w:p>
      <w:pPr>
        <w:pBdr>
          <w:left w:val="single" w:color="D4D1CA" w:sz="6" w:space="12"/>
        </w:pBdr>
        <w:spacing w:after="140" w:before="100" w:line="300"/>
        <w:ind w:left="480" w:right="240"/>
      </w:pPr>
      <w:r>
        <w:rPr>
          <w:rFonts w:ascii="Open Sans" w:cs="Open Sans" w:eastAsia="Open Sans" w:hAnsi="Open Sans"/>
          <w:color w:val="33312B"/>
          <w:sz w:val="20"/>
          <w:szCs w:val="20"/>
        </w:rPr>
        <w:t xml:space="preserve">(b) you may be required to undergo alcohol and drug testing in accordance with the policy, and you agree that an unreasonable refusal to be tested, or interference with a sample, may be treated as gross misconduct;</w:t>
      </w:r>
    </w:p>
    <w:p>
      <w:pPr>
        <w:spacing w:after="50" w:before="130"/>
      </w:pPr>
      <w:r>
        <w:rPr>
          <w:rFonts w:ascii="Open Sans" w:cs="Open Sans" w:eastAsia="Open Sans" w:hAnsi="Open Sans"/>
          <w:i/>
          <w:iCs/>
          <w:color w:val="7A7974"/>
          <w:sz w:val="17"/>
          <w:szCs w:val="17"/>
        </w:rPr>
        <w:t xml:space="preserve">Limb (b) — shown when testing is reserved for the future:</w:t>
      </w:r>
    </w:p>
    <w:p>
      <w:pPr>
        <w:pBdr>
          <w:left w:val="single" w:color="D4D1CA" w:sz="6" w:space="12"/>
        </w:pBdr>
        <w:spacing w:after="140" w:before="100" w:line="300"/>
        <w:ind w:left="480" w:right="240"/>
      </w:pPr>
      <w:r>
        <w:rPr>
          <w:rFonts w:ascii="Open Sans" w:cs="Open Sans" w:eastAsia="Open Sans" w:hAnsi="Open Sans"/>
          <w:color w:val="33312B"/>
          <w:sz w:val="20"/>
          <w:szCs w:val="20"/>
        </w:rPr>
        <w:t xml:space="preserve">(b) the Company reserves the right to introduce alcohol and drug testing following consultation, and where introduced, testing will be conducted in accordance with the policy;</w:t>
      </w:r>
    </w:p>
    <w:p>
      <w:pPr>
        <w:spacing w:after="50" w:before="130"/>
      </w:pPr>
      <w:r>
        <w:rPr>
          <w:rFonts w:ascii="Open Sans" w:cs="Open Sans" w:eastAsia="Open Sans" w:hAnsi="Open Sans"/>
          <w:i/>
          <w:iCs/>
          <w:color w:val="7A7974"/>
          <w:sz w:val="17"/>
          <w:szCs w:val="17"/>
        </w:rPr>
        <w:t xml:space="preserve">Then, in both variants, the clause closes:</w:t>
      </w:r>
    </w:p>
    <w:p>
      <w:pPr>
        <w:pBdr>
          <w:left w:val="single" w:color="D4D1CA" w:sz="6" w:space="12"/>
        </w:pBdr>
        <w:spacing w:after="140" w:before="100" w:line="300"/>
        <w:ind w:left="480" w:right="240"/>
      </w:pPr>
      <w:r>
        <w:rPr>
          <w:rFonts w:ascii="Open Sans" w:cs="Open Sans" w:eastAsia="Open Sans" w:hAnsi="Open Sans"/>
          <w:color w:val="33312B"/>
          <w:sz w:val="20"/>
          <w:szCs w:val="20"/>
        </w:rPr>
        <w:t xml:space="preserve">…and (c) a confirmed breach of the policy may result in disciplinary action up to and including dismissal.</w:t>
      </w:r>
    </w:p>
    <w:p>
      <w:pPr>
        <w:spacing w:after="50" w:before="130"/>
      </w:pPr>
      <w:r>
        <w:rPr>
          <w:rFonts w:ascii="Open Sans" w:cs="Open Sans" w:eastAsia="Open Sans" w:hAnsi="Open Sans"/>
          <w:i/>
          <w:iCs/>
          <w:color w:val="7A7974"/>
          <w:sz w:val="17"/>
          <w:szCs w:val="17"/>
        </w:rPr>
        <w:t xml:space="preserve">Shown when the selected jurisdictions include the Republic of Ireland — the same clause, with (a) extended:</w:t>
      </w:r>
    </w:p>
    <w:p>
      <w:pPr>
        <w:pBdr>
          <w:left w:val="single" w:color="D4D1CA" w:sz="6" w:space="12"/>
        </w:pBdr>
        <w:spacing w:after="140" w:before="100" w:line="300"/>
        <w:ind w:left="480" w:right="240"/>
      </w:pPr>
      <w:r>
        <w:rPr>
          <w:rFonts w:ascii="Open Sans" w:cs="Open Sans" w:eastAsia="Open Sans" w:hAnsi="Open Sans"/>
          <w:color w:val="33312B"/>
          <w:sz w:val="20"/>
          <w:szCs w:val="20"/>
        </w:rPr>
        <w:t xml:space="preserve">…and you must not, in accordance with section 13 of the Safety, Health and Welfare at Work Act 2005, be under the influence of an intoxicant at work to the extent that you may endanger your own safety, health or welfare or that of any other person.</w:t>
      </w:r>
    </w:p>
    <w:p>
      <w:pPr>
        <w:spacing w:after="140" w:before="240"/>
      </w:pPr>
      <w:r>
        <w:rPr>
          <w:rFonts w:ascii="Open Sans" w:cs="Open Sans" w:eastAsia="Open Sans" w:hAnsi="Open Sans"/>
          <w:b/>
          <w:bCs/>
          <w:color w:val="28251D"/>
          <w:sz w:val="30"/>
          <w:szCs w:val="30"/>
        </w:rPr>
        <w:t xml:space="preserve">Clause 2 — existing staff (variation by consultation)</w:t>
      </w:r>
    </w:p>
    <w:p>
      <w:pPr>
        <w:spacing w:after="120" w:line="280"/>
      </w:pPr>
      <w:r>
        <w:rPr>
          <w:rFonts w:ascii="Open Sans" w:cs="Open Sans" w:eastAsia="Open Sans" w:hAnsi="Open Sans"/>
          <w:color w:val="33312B"/>
          <w:sz w:val="21"/>
          <w:szCs w:val="21"/>
        </w:rPr>
        <w:t xml:space="preserve">Testing obligations should not be imposed on existing staff by simply reissuing contracts. The defensible route, reflected in section 1.3 of the policy, is consultation and agreement. Suggested letter wording:</w:t>
      </w:r>
    </w:p>
    <w:p>
      <w:pPr>
        <w:pBdr>
          <w:left w:val="single" w:color="D4D1CA" w:sz="6" w:space="12"/>
        </w:pBdr>
        <w:spacing w:after="140" w:before="100" w:line="300"/>
        <w:ind w:left="480" w:right="240"/>
      </w:pPr>
      <w:r>
        <w:rPr>
          <w:rFonts w:ascii="Open Sans" w:cs="Open Sans" w:eastAsia="Open Sans" w:hAnsi="Open Sans"/>
          <w:color w:val="33312B"/>
          <w:sz w:val="20"/>
          <w:szCs w:val="20"/>
        </w:rPr>
        <w:t xml:space="preserve">Following consultation with staff [and workforce representatives], the Company has adopted a drug and alcohol policy, effective ⟨date⟩. The policy applies to all staff. It includes an alcohol and drug testing programme, conducted by ⟨provider⟩ with laboratory confirmation, medical review and a right of appeal, as set out in the policy. Please read the enclosed policy [and employee awareness leaflet] and sign below to confirm you have received and understood it and agree to comply with it, including its testing provisions as a condition of your employment going forward.</w:t>
      </w:r>
    </w:p>
    <w:p>
      <w:pPr>
        <w:spacing w:after="50" w:before="130"/>
      </w:pPr>
      <w:r>
        <w:rPr>
          <w:rFonts w:ascii="Open Sans" w:cs="Open Sans" w:eastAsia="Open Sans" w:hAnsi="Open Sans"/>
          <w:i/>
          <w:iCs/>
          <w:color w:val="7A7974"/>
          <w:sz w:val="17"/>
          <w:szCs w:val="17"/>
        </w:rPr>
        <w:t xml:space="preserve">The sentence beginning “It includes an alcohol and drug testing programme” and the words “its testing provisions” are shown only when a testing programme is active; without testing the closing words read “agree to comply with it as a condition of your employment going forward”.</w:t>
      </w:r>
    </w:p>
    <w:p>
      <w:pPr>
        <w:spacing w:after="140" w:before="240"/>
      </w:pPr>
      <w:r>
        <w:rPr>
          <w:rFonts w:ascii="Open Sans" w:cs="Open Sans" w:eastAsia="Open Sans" w:hAnsi="Open Sans"/>
          <w:b/>
          <w:bCs/>
          <w:color w:val="28251D"/>
          <w:sz w:val="30"/>
          <w:szCs w:val="30"/>
        </w:rPr>
        <w:t xml:space="preserve">Clause 3 — contractor and agency engagement terms</w:t>
      </w:r>
    </w:p>
    <w:p>
      <w:pPr>
        <w:pBdr>
          <w:left w:val="single" w:color="D4D1CA" w:sz="6" w:space="12"/>
        </w:pBdr>
        <w:spacing w:after="140" w:before="100" w:line="300"/>
        <w:ind w:left="480" w:right="240"/>
      </w:pPr>
      <w:r>
        <w:rPr>
          <w:rFonts w:ascii="Open Sans" w:cs="Open Sans" w:eastAsia="Open Sans" w:hAnsi="Open Sans"/>
          <w:b/>
          <w:bCs/>
          <w:color w:val="33312B"/>
          <w:sz w:val="20"/>
          <w:szCs w:val="20"/>
        </w:rPr>
        <w:t xml:space="preserve">Drugs and alcohol.</w:t>
      </w:r>
      <w:r>
        <w:rPr>
          <w:rFonts w:ascii="Open Sans" w:cs="Open Sans" w:eastAsia="Open Sans" w:hAnsi="Open Sans"/>
          <w:color w:val="33312B"/>
          <w:sz w:val="20"/>
          <w:szCs w:val="20"/>
        </w:rPr>
        <w:t xml:space="preserve"> The Contractor shall ensure that all personnel engaged in providing the Services comply with the Client’s drug and alcohol policy while on the Client’s premises, worksites or business, a copy of which is available on request. The Client may remove from its premises or worksites any person who appears to be under the influence of alcohol or drugs, and may terminate this engagement for a material breach of this clause. The Contractor shall, on request, provide evidence that it operates equivalent standards of its own.</w:t>
      </w:r>
    </w:p>
    <w:p>
      <w:pPr>
        <w:spacing w:after="50" w:before="130"/>
      </w:pPr>
      <w:r>
        <w:rPr>
          <w:rFonts w:ascii="Open Sans" w:cs="Open Sans" w:eastAsia="Open Sans" w:hAnsi="Open Sans"/>
          <w:i/>
          <w:iCs/>
          <w:color w:val="7A7974"/>
          <w:sz w:val="17"/>
          <w:szCs w:val="17"/>
        </w:rPr>
        <w:t xml:space="preserve">Inserted after the first sentence. Shown when a testing programme is active:</w:t>
      </w:r>
    </w:p>
    <w:p>
      <w:pPr>
        <w:pBdr>
          <w:left w:val="single" w:color="D4D1CA" w:sz="6" w:space="12"/>
        </w:pBdr>
        <w:spacing w:after="140" w:before="100" w:line="300"/>
        <w:ind w:left="480" w:right="240"/>
      </w:pPr>
      <w:r>
        <w:rPr>
          <w:rFonts w:ascii="Open Sans" w:cs="Open Sans" w:eastAsia="Open Sans" w:hAnsi="Open Sans"/>
          <w:color w:val="33312B"/>
          <w:sz w:val="20"/>
          <w:szCs w:val="20"/>
        </w:rPr>
        <w:t xml:space="preserve">Contractor personnel may be required to undergo alcohol and drug testing on the same basis, and with the same safeguards, as the Client’s employees, and the Contractor shall procure their cooperation.</w:t>
      </w:r>
    </w:p>
    <w:p>
      <w:pPr>
        <w:spacing w:after="140" w:before="240"/>
      </w:pPr>
      <w:r>
        <w:rPr>
          <w:rFonts w:ascii="Open Sans" w:cs="Open Sans" w:eastAsia="Open Sans" w:hAnsi="Open Sans"/>
          <w:b/>
          <w:bCs/>
          <w:color w:val="28251D"/>
          <w:sz w:val="30"/>
          <w:szCs w:val="30"/>
        </w:rPr>
        <w:t xml:space="preserve">Adoption checklist</w:t>
      </w:r>
    </w:p>
    <w:p>
      <w:pPr>
        <w:pStyle w:val="ListParagraph"/>
        <w:numPr>
          <w:ilvl w:val="0"/>
          <w:numId w:val="2"/>
        </w:numPr>
        <w:spacing w:after="70" w:line="270"/>
        <w:ind w:left="720" w:hanging="360"/>
      </w:pPr>
      <w:r>
        <w:rPr>
          <w:rFonts w:ascii="Open Sans" w:cs="Open Sans" w:eastAsia="Open Sans" w:hAnsi="Open Sans"/>
          <w:color w:val="33312B"/>
          <w:sz w:val="21"/>
          <w:szCs w:val="21"/>
        </w:rPr>
        <w:t xml:space="preserve">Have your own adviser review each clause before use — employment and contract law consequences vary with circumstances.</w:t>
      </w:r>
    </w:p>
    <w:p>
      <w:pPr>
        <w:pStyle w:val="ListParagraph"/>
        <w:numPr>
          <w:ilvl w:val="0"/>
          <w:numId w:val="2"/>
        </w:numPr>
        <w:spacing w:after="70" w:line="270"/>
        <w:ind w:left="720" w:hanging="360"/>
      </w:pPr>
      <w:r>
        <w:rPr>
          <w:rFonts w:ascii="Open Sans" w:cs="Open Sans" w:eastAsia="Open Sans" w:hAnsi="Open Sans"/>
          <w:color w:val="33312B"/>
          <w:sz w:val="21"/>
          <w:szCs w:val="21"/>
        </w:rPr>
        <w:t xml:space="preserve">New starters: include clause 1 in offers from a fixed date; make offers for relevant roles conditional on a negative pre-employment result where the policy provides for it.</w:t>
      </w:r>
    </w:p>
    <w:p>
      <w:pPr>
        <w:pStyle w:val="ListParagraph"/>
        <w:numPr>
          <w:ilvl w:val="0"/>
          <w:numId w:val="2"/>
        </w:numPr>
        <w:spacing w:after="70" w:line="270"/>
        <w:ind w:left="720" w:hanging="360"/>
      </w:pPr>
      <w:r>
        <w:rPr>
          <w:rFonts w:ascii="Open Sans" w:cs="Open Sans" w:eastAsia="Open Sans" w:hAnsi="Open Sans"/>
          <w:color w:val="33312B"/>
          <w:sz w:val="21"/>
          <w:szCs w:val="21"/>
        </w:rPr>
        <w:t xml:space="preserve">Existing staff: consult first (section 1.3 of the policy), then use clause 2; keep the signed acknowledgements with ⟨policy owner⟩.</w:t>
      </w:r>
    </w:p>
    <w:p>
      <w:pPr>
        <w:pStyle w:val="ListParagraph"/>
        <w:numPr>
          <w:ilvl w:val="0"/>
          <w:numId w:val="2"/>
        </w:numPr>
        <w:spacing w:after="70" w:line="270"/>
        <w:ind w:left="720" w:hanging="360"/>
      </w:pPr>
      <w:r>
        <w:rPr>
          <w:rFonts w:ascii="Open Sans" w:cs="Open Sans" w:eastAsia="Open Sans" w:hAnsi="Open Sans"/>
          <w:color w:val="33312B"/>
          <w:sz w:val="21"/>
          <w:szCs w:val="21"/>
        </w:rPr>
        <w:t xml:space="preserve">Contractors: apply clause 3 at next renewal or new engagement; ask incumbents for their own policy as an interim measure.</w:t>
      </w:r>
    </w:p>
    <w:p>
      <w:pPr>
        <w:spacing w:after="60" w:before="200" w:line="260"/>
      </w:pPr>
      <w:r>
        <w:rPr>
          <w:rFonts w:ascii="Open Sans" w:cs="Open Sans" w:eastAsia="Open Sans" w:hAnsi="Open Sans"/>
          <w:i/>
          <w:iCs/>
          <w:color w:val="7A7974"/>
          <w:sz w:val="18"/>
          <w:szCs w:val="18"/>
        </w:rPr>
        <w:t xml:space="preserve">Supports the ⟨organisation⟩ drug and alcohol policy, version ⟨version⟩, ⟨date⟩. Not legal advice. Prepared with NIVHA Laboratory Services.</w:t>
      </w:r>
    </w:p>
    <w:sectPr>
      <w:headerReference w:type="default" r:id="rId7"/>
      <w:footerReference w:type="default" r:id="rId8"/>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Open Sans" w:cs="Open Sans" w:eastAsia="Open Sans" w:hAnsi="Open Sans"/>
        <w:color w:val="7A7974"/>
        <w:sz w:val="14"/>
        <w:szCs w:val="14"/>
      </w:rPr>
      <w:t xml:space="preserve">Draft v0.1 for review — 4 August 2026 · prepared with NIVHA Laboratory Services · a template for the organisation to review and adopt — not legal advice.</w:t>
    </w:r>
  </w:p>
  <w:p>
    <w:pPr>
      <w:jc w:val="center"/>
    </w:pPr>
    <w:r>
      <w:rPr>
        <w:rFonts w:ascii="Open Sans" w:cs="Open Sans" w:eastAsia="Open Sans" w:hAnsi="Open Sans"/>
        <w:color w:val="7A7974"/>
        <w:sz w:val="14"/>
        <w:szCs w:val="14"/>
      </w:rPr>
      <w:t xml:space="preserve">Page </w:t>
    </w:r>
    <w:r>
      <w:rPr>
        <w:rFonts w:ascii="Open Sans" w:cs="Open Sans" w:eastAsia="Open Sans" w:hAnsi="Open Sans"/>
        <w:color w:val="7A7974"/>
        <w:sz w:val="14"/>
        <w:szCs w:val="14"/>
      </w:rPr>
      <w:fldChar w:fldCharType="begin"/>
      <w:instrText xml:space="preserve">PAGE</w:instrText>
      <w:fldChar w:fldCharType="separate"/>
      <w:fldChar w:fldCharType="end"/>
    </w:r>
    <w:r>
      <w:rPr>
        <w:rFonts w:ascii="Open Sans" w:cs="Open Sans" w:eastAsia="Open Sans" w:hAnsi="Open Sans"/>
        <w:color w:val="7A7974"/>
        <w:sz w:val="14"/>
        <w:szCs w:val="14"/>
      </w:rPr>
      <w:t xml:space="preserve"> of </w:t>
    </w:r>
    <w:r>
      <w:rPr>
        <w:rFonts w:ascii="Open Sans" w:cs="Open Sans" w:eastAsia="Open Sans" w:hAnsi="Open Sans"/>
        <w:color w:val="7A797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Open Sans" w:cs="Open Sans" w:eastAsia="Open Sans" w:hAnsi="Open Sans"/>
        <w:color w:val="7A7974"/>
        <w:sz w:val="15"/>
        <w:szCs w:val="15"/>
      </w:rPr>
      <w:t xml:space="preserve">Contract clause wording — ⟨organisation⟩ drug and alcohol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12B"/>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Open Sans" w:cs="Open Sans" w:eastAsia="Open Sans" w:hAnsi="Open Sans"/>
      <w:b/>
      <w:bCs/>
      <w:color w:val="28251D"/>
      <w:sz w:val="30"/>
      <w:szCs w:val="30"/>
    </w:rPr>
  </w:style>
  <w:style w:type="paragraph" w:styleId="Heading2">
    <w:name w:val="Heading 2"/>
    <w:basedOn w:val="Normal"/>
    <w:next w:val="Normal"/>
    <w:qFormat/>
    <w:pPr>
      <w:spacing w:after="120" w:before="240"/>
      <w:outlineLvl w:val="1"/>
    </w:pPr>
    <w:rPr>
      <w:rFonts w:ascii="Open Sans" w:cs="Open Sans" w:eastAsia="Open Sans" w:hAnsi="Open Sans"/>
      <w:b/>
      <w:bCs/>
      <w:color w:val="2825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2026-08-04T14:00:09.457Z</dcterms:created>
  <dcterms:modified xsi:type="dcterms:W3CDTF">2026-08-04T14:00:09.457Z</dcterms:modified>
</cp:coreProperties>
</file>

<file path=docProps/custom.xml><?xml version="1.0" encoding="utf-8"?>
<Properties xmlns="http://schemas.openxmlformats.org/officeDocument/2006/custom-properties" xmlns:vt="http://schemas.openxmlformats.org/officeDocument/2006/docPropsVTypes"/>
</file>