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7B030" w14:textId="557D4401" w:rsidR="00CA5807" w:rsidRDefault="00CA5807" w:rsidP="00CA5807">
      <w:pPr>
        <w:bidi/>
        <w:rPr>
          <w:rtl/>
          <w:lang w:val="en-US"/>
        </w:rPr>
      </w:pPr>
      <w:r>
        <w:rPr>
          <w:rFonts w:hint="cs"/>
          <w:rtl/>
        </w:rPr>
        <w:t xml:space="preserve">1.2 - </w:t>
      </w:r>
      <w:r>
        <w:rPr>
          <w:rtl/>
        </w:rPr>
        <w:br/>
      </w:r>
      <w:r>
        <w:rPr>
          <w:rFonts w:hint="cs"/>
          <w:rtl/>
        </w:rPr>
        <w:t>היתרון המרכזי של שמירת תור האירועים בצורת ערימה היא האפשרות למצוא את האירוע בעל הזמן המינימלי ב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 ולהסירו מהתור ב</w:t>
      </w:r>
      <w:r>
        <w:rPr>
          <w:lang w:val="en-US"/>
        </w:rPr>
        <w:t>O(log n)</w:t>
      </w:r>
      <w:r>
        <w:rPr>
          <w:rFonts w:hint="cs"/>
          <w:rtl/>
          <w:lang w:val="en-US"/>
        </w:rPr>
        <w:t xml:space="preserve"> בעוד שברשימה מקושרת פעולות אלו היו לוקחות </w:t>
      </w:r>
      <w:r>
        <w:rPr>
          <w:lang w:val="en-US"/>
        </w:rPr>
        <w:t>O(n)</w:t>
      </w:r>
      <w:r>
        <w:rPr>
          <w:rFonts w:hint="cs"/>
          <w:rtl/>
          <w:lang w:val="en-US"/>
        </w:rPr>
        <w:t>. יתורונות של רשימה מקושרת על פני ערימה הם: פשטות המימו</w:t>
      </w:r>
      <w:r w:rsidR="00FC4F13">
        <w:rPr>
          <w:rFonts w:hint="cs"/>
          <w:rtl/>
          <w:lang w:val="en-US"/>
        </w:rPr>
        <w:t xml:space="preserve">ש ופעולת הכנסה לתור אשר לוקחת </w:t>
      </w:r>
      <w:r w:rsidR="00FC4F13">
        <w:rPr>
          <w:lang w:val="en-US"/>
        </w:rPr>
        <w:t>O(1)</w:t>
      </w:r>
      <w:r w:rsidR="00FC4F13">
        <w:rPr>
          <w:rFonts w:hint="cs"/>
          <w:rtl/>
          <w:lang w:val="en-US"/>
        </w:rPr>
        <w:t xml:space="preserve"> כאשר בערימה פעולה זו לוקחת </w:t>
      </w:r>
      <w:r w:rsidR="00FC4F13">
        <w:rPr>
          <w:lang w:val="en-US"/>
        </w:rPr>
        <w:t>O(log n)</w:t>
      </w:r>
      <w:r w:rsidR="00FC4F13">
        <w:rPr>
          <w:rFonts w:hint="cs"/>
          <w:rtl/>
          <w:lang w:val="en-US"/>
        </w:rPr>
        <w:t>.</w:t>
      </w:r>
    </w:p>
    <w:tbl>
      <w:tblPr>
        <w:tblStyle w:val="TableGrid"/>
        <w:bidiVisual/>
        <w:tblW w:w="9448" w:type="dxa"/>
        <w:tblLook w:val="04A0" w:firstRow="1" w:lastRow="0" w:firstColumn="1" w:lastColumn="0" w:noHBand="0" w:noVBand="1"/>
      </w:tblPr>
      <w:tblGrid>
        <w:gridCol w:w="3149"/>
        <w:gridCol w:w="3149"/>
        <w:gridCol w:w="3150"/>
      </w:tblGrid>
      <w:tr w:rsidR="00921F58" w14:paraId="080896F5" w14:textId="77777777" w:rsidTr="00921F58">
        <w:trPr>
          <w:trHeight w:val="470"/>
        </w:trPr>
        <w:tc>
          <w:tcPr>
            <w:tcW w:w="3149" w:type="dxa"/>
          </w:tcPr>
          <w:p w14:paraId="30AA2F0D" w14:textId="77777777" w:rsidR="00921F58" w:rsidRDefault="00921F58" w:rsidP="00FC4F13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3149" w:type="dxa"/>
          </w:tcPr>
          <w:p w14:paraId="0BDBE509" w14:textId="1F889B97" w:rsidR="00921F58" w:rsidRDefault="00921F58" w:rsidP="00FC4F1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צרכנים שקיבלו שירות</w:t>
            </w:r>
          </w:p>
        </w:tc>
        <w:tc>
          <w:tcPr>
            <w:tcW w:w="3150" w:type="dxa"/>
          </w:tcPr>
          <w:p w14:paraId="0DEE3F8C" w14:textId="36D9DE98" w:rsidR="00921F58" w:rsidRDefault="00921F58" w:rsidP="00FC4F1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זמן ההמתנה הממוצע</w:t>
            </w:r>
          </w:p>
        </w:tc>
      </w:tr>
      <w:tr w:rsidR="00921F58" w14:paraId="78ABA895" w14:textId="77777777" w:rsidTr="00921F58">
        <w:trPr>
          <w:trHeight w:val="470"/>
        </w:trPr>
        <w:tc>
          <w:tcPr>
            <w:tcW w:w="3149" w:type="dxa"/>
          </w:tcPr>
          <w:p w14:paraId="4C93F837" w14:textId="1685A44F" w:rsidR="00921F58" w:rsidRDefault="00921F58" w:rsidP="00FC4F1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3149" w:type="dxa"/>
          </w:tcPr>
          <w:p w14:paraId="63A62D32" w14:textId="3F779AD4" w:rsidR="00921F58" w:rsidRDefault="00921F58" w:rsidP="00FC4F1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5</w:t>
            </w:r>
          </w:p>
        </w:tc>
        <w:tc>
          <w:tcPr>
            <w:tcW w:w="3150" w:type="dxa"/>
          </w:tcPr>
          <w:p w14:paraId="7920C17C" w14:textId="6F4E3832" w:rsidR="00921F58" w:rsidRDefault="00921F58" w:rsidP="00FC4F1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0.8198</w:t>
            </w:r>
          </w:p>
        </w:tc>
      </w:tr>
      <w:tr w:rsidR="00921F58" w14:paraId="3F0DF884" w14:textId="77777777" w:rsidTr="00921F58">
        <w:trPr>
          <w:trHeight w:val="450"/>
        </w:trPr>
        <w:tc>
          <w:tcPr>
            <w:tcW w:w="3149" w:type="dxa"/>
          </w:tcPr>
          <w:p w14:paraId="6C6F43C1" w14:textId="720EAB82" w:rsidR="00921F58" w:rsidRDefault="00921F58" w:rsidP="00FC4F1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</w:t>
            </w:r>
          </w:p>
        </w:tc>
        <w:tc>
          <w:tcPr>
            <w:tcW w:w="3149" w:type="dxa"/>
          </w:tcPr>
          <w:p w14:paraId="0387250C" w14:textId="67870B61" w:rsidR="00921F58" w:rsidRDefault="00921F58" w:rsidP="00FC4F1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</w:t>
            </w:r>
          </w:p>
        </w:tc>
        <w:tc>
          <w:tcPr>
            <w:tcW w:w="3150" w:type="dxa"/>
          </w:tcPr>
          <w:p w14:paraId="72A5006B" w14:textId="2C124C3D" w:rsidR="00921F58" w:rsidRDefault="00921F58" w:rsidP="00FC4F1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0.3951</w:t>
            </w:r>
          </w:p>
        </w:tc>
      </w:tr>
      <w:tr w:rsidR="00921F58" w14:paraId="020F1012" w14:textId="77777777" w:rsidTr="00921F58">
        <w:trPr>
          <w:trHeight w:val="470"/>
        </w:trPr>
        <w:tc>
          <w:tcPr>
            <w:tcW w:w="3149" w:type="dxa"/>
          </w:tcPr>
          <w:p w14:paraId="1603AC4F" w14:textId="37D69A21" w:rsidR="00921F58" w:rsidRDefault="00921F58" w:rsidP="00FC4F1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</w:t>
            </w:r>
          </w:p>
        </w:tc>
        <w:tc>
          <w:tcPr>
            <w:tcW w:w="3149" w:type="dxa"/>
          </w:tcPr>
          <w:p w14:paraId="25F609B3" w14:textId="01247E22" w:rsidR="00921F58" w:rsidRDefault="00921F58" w:rsidP="00FC4F1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6</w:t>
            </w:r>
          </w:p>
        </w:tc>
        <w:tc>
          <w:tcPr>
            <w:tcW w:w="3150" w:type="dxa"/>
          </w:tcPr>
          <w:p w14:paraId="6ADED7F0" w14:textId="7546C0E8" w:rsidR="00921F58" w:rsidRDefault="00921F58" w:rsidP="00FC4F1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0.6525</w:t>
            </w:r>
          </w:p>
        </w:tc>
      </w:tr>
      <w:tr w:rsidR="00921F58" w14:paraId="5831313F" w14:textId="77777777" w:rsidTr="00921F58">
        <w:trPr>
          <w:trHeight w:val="470"/>
        </w:trPr>
        <w:tc>
          <w:tcPr>
            <w:tcW w:w="3149" w:type="dxa"/>
          </w:tcPr>
          <w:p w14:paraId="2A71CD92" w14:textId="3EE3C03A" w:rsidR="00921F58" w:rsidRDefault="00921F58" w:rsidP="00FC4F1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4</w:t>
            </w:r>
          </w:p>
        </w:tc>
        <w:tc>
          <w:tcPr>
            <w:tcW w:w="3149" w:type="dxa"/>
          </w:tcPr>
          <w:p w14:paraId="6AE832C0" w14:textId="20CA92CC" w:rsidR="00921F58" w:rsidRDefault="00921F58" w:rsidP="00FC4F1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5</w:t>
            </w:r>
          </w:p>
        </w:tc>
        <w:tc>
          <w:tcPr>
            <w:tcW w:w="3150" w:type="dxa"/>
          </w:tcPr>
          <w:p w14:paraId="68EFF259" w14:textId="2882FFA9" w:rsidR="00921F58" w:rsidRDefault="00921F58" w:rsidP="00FC4F1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0.9893</w:t>
            </w:r>
          </w:p>
        </w:tc>
      </w:tr>
      <w:tr w:rsidR="00921F58" w14:paraId="7380F232" w14:textId="77777777" w:rsidTr="00921F58">
        <w:trPr>
          <w:trHeight w:val="470"/>
        </w:trPr>
        <w:tc>
          <w:tcPr>
            <w:tcW w:w="3149" w:type="dxa"/>
          </w:tcPr>
          <w:p w14:paraId="16E83C03" w14:textId="42523B8D" w:rsidR="00921F58" w:rsidRDefault="00921F58" w:rsidP="00FC4F1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5</w:t>
            </w:r>
          </w:p>
        </w:tc>
        <w:tc>
          <w:tcPr>
            <w:tcW w:w="3149" w:type="dxa"/>
          </w:tcPr>
          <w:p w14:paraId="6652FEC7" w14:textId="3EEB1B97" w:rsidR="00921F58" w:rsidRDefault="00921F58" w:rsidP="00FC4F1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10</w:t>
            </w:r>
          </w:p>
        </w:tc>
        <w:tc>
          <w:tcPr>
            <w:tcW w:w="3150" w:type="dxa"/>
          </w:tcPr>
          <w:p w14:paraId="19051846" w14:textId="7DE94094" w:rsidR="00921F58" w:rsidRDefault="00921F58" w:rsidP="00FC4F1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1.0149</w:t>
            </w:r>
          </w:p>
        </w:tc>
      </w:tr>
    </w:tbl>
    <w:p w14:paraId="35E2C377" w14:textId="77777777" w:rsidR="00FC4F13" w:rsidRDefault="00FC4F13" w:rsidP="00FC4F13">
      <w:pPr>
        <w:bidi/>
        <w:rPr>
          <w:rtl/>
          <w:lang w:val="en-US"/>
        </w:rPr>
      </w:pPr>
    </w:p>
    <w:p w14:paraId="2C7CE2EC" w14:textId="64F476DF" w:rsidR="00E92AFE" w:rsidRDefault="00E92AFE" w:rsidP="00E92AF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3</w:t>
      </w:r>
    </w:p>
    <w:p w14:paraId="239B65ED" w14:textId="46858491" w:rsidR="00E92AFE" w:rsidRPr="00B3373A" w:rsidRDefault="00B3373A" w:rsidP="00E92AF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ניתן לפתח את משוואות המצב היציב כפי שעשינו בהרצאה, ונקבל כי</w:t>
      </w:r>
      <w:r>
        <w:rPr>
          <w:lang w:val="en-US"/>
        </w:rPr>
        <w:t xml:space="preserve">* </w:t>
      </w:r>
      <w:r w:rsidRPr="00B3373A">
        <w:rPr>
          <w:sz w:val="28"/>
          <w:szCs w:val="28"/>
          <w:lang w:val="en-US"/>
        </w:rPr>
        <w:t>P</w:t>
      </w:r>
      <w:r w:rsidRPr="00B3373A">
        <w:rPr>
          <w:sz w:val="28"/>
          <w:szCs w:val="28"/>
          <w:vertAlign w:val="subscript"/>
          <w:lang w:val="en-US"/>
        </w:rPr>
        <w:t>0</w:t>
      </w:r>
      <w:r w:rsidRPr="00B3373A">
        <w:rPr>
          <w:rFonts w:hint="cs"/>
          <w:sz w:val="28"/>
          <w:szCs w:val="28"/>
          <w:rtl/>
          <w:lang w:val="en-US"/>
        </w:rPr>
        <w:t xml:space="preserve"> </w:t>
      </w:r>
      <w:r w:rsidRPr="00B3373A">
        <w:rPr>
          <w:sz w:val="28"/>
          <w:szCs w:val="28"/>
          <w:lang w:val="en-US"/>
        </w:rPr>
        <w:t>P</w:t>
      </w:r>
      <w:r w:rsidRPr="00B3373A">
        <w:rPr>
          <w:sz w:val="28"/>
          <w:szCs w:val="28"/>
          <w:vertAlign w:val="subscript"/>
          <w:lang w:val="en-US"/>
        </w:rPr>
        <w:t>1000</w:t>
      </w:r>
      <w:r w:rsidRPr="00B3373A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1000</m:t>
                </m:r>
              </m:sup>
            </m:sSup>
          </m:den>
        </m:f>
      </m:oMath>
      <w:r w:rsidR="00E92AF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נחשב את </w:t>
      </w:r>
      <w:r>
        <w:rPr>
          <w:lang w:val="en-US"/>
        </w:rPr>
        <w:t>P</w:t>
      </w:r>
      <w:r>
        <w:rPr>
          <w:vertAlign w:val="subscript"/>
          <w:lang w:val="en-US"/>
        </w:rPr>
        <w:t>0</w:t>
      </w:r>
      <w:r>
        <w:rPr>
          <w:rFonts w:hint="cs"/>
          <w:rtl/>
          <w:lang w:val="en-US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1000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1000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n=0 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1000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</m:t>
                </m:r>
              </m:e>
            </m:nary>
          </m:e>
        </m:nary>
      </m:oMath>
      <w:r w:rsidRPr="00B3373A">
        <w:rPr>
          <w:rFonts w:eastAsiaTheme="minorEastAsia"/>
          <w:sz w:val="28"/>
          <w:szCs w:val="28"/>
          <w:lang w:val="en-US"/>
        </w:rPr>
        <w:t xml:space="preserve"> 1=</w:t>
      </w:r>
      <w:r>
        <w:rPr>
          <w:rFonts w:eastAsiaTheme="minorEastAsia"/>
          <w:lang w:val="en-US"/>
        </w:rPr>
        <w:t xml:space="preserve"> </w:t>
      </w:r>
    </w:p>
    <w:p w14:paraId="6DF6A270" w14:textId="66E346DF" w:rsidR="00B3373A" w:rsidRDefault="00B3373A" w:rsidP="00B3373A">
      <w:pPr>
        <w:pStyle w:val="ListParagraph"/>
        <w:bidi/>
        <w:rPr>
          <w:rFonts w:eastAsiaTheme="minorEastAsia"/>
          <w:sz w:val="28"/>
          <w:szCs w:val="28"/>
          <w:rtl/>
          <w:lang w:val="en-US"/>
        </w:rPr>
      </w:pPr>
      <w:r w:rsidRPr="00B3373A">
        <w:rPr>
          <w:sz w:val="28"/>
          <w:szCs w:val="28"/>
          <w:lang w:val="en-US"/>
        </w:rPr>
        <w:t>P</w:t>
      </w:r>
      <w:r w:rsidRPr="00B3373A">
        <w:rPr>
          <w:sz w:val="28"/>
          <w:szCs w:val="28"/>
          <w:vertAlign w:val="subscript"/>
          <w:lang w:val="en-US"/>
        </w:rPr>
        <w:t>1000</w:t>
      </w:r>
      <w:r w:rsidRPr="00B3373A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≈0</m:t>
        </m:r>
      </m:oMath>
      <w:r>
        <w:rPr>
          <w:rFonts w:eastAsiaTheme="minorEastAsia" w:hint="cs"/>
          <w:sz w:val="28"/>
          <w:szCs w:val="28"/>
          <w:rtl/>
          <w:lang w:val="en-US"/>
        </w:rPr>
        <w:t>.</w:t>
      </w:r>
    </w:p>
    <w:p w14:paraId="414D5AE4" w14:textId="19A3E1B9" w:rsidR="00B3373A" w:rsidRPr="00000738" w:rsidRDefault="00772573" w:rsidP="00B3373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ראינו ב</w:t>
      </w:r>
      <w:r w:rsidR="004B4BEC">
        <w:rPr>
          <w:rFonts w:hint="cs"/>
          <w:rtl/>
          <w:lang w:val="en-US"/>
        </w:rPr>
        <w:t>הרצאה כמסקנה מחו</w:t>
      </w:r>
      <w:r w:rsidR="004F509F">
        <w:rPr>
          <w:rFonts w:hint="cs"/>
          <w:rtl/>
          <w:lang w:val="en-US"/>
        </w:rPr>
        <w:t>ק</w:t>
      </w:r>
      <w:r w:rsidR="004B4BEC">
        <w:rPr>
          <w:rFonts w:hint="cs"/>
          <w:rtl/>
          <w:lang w:val="en-US"/>
        </w:rPr>
        <w:t xml:space="preserve"> ליטל שעבור תור </w:t>
      </w:r>
      <w:r w:rsidR="004B4BEC">
        <w:rPr>
          <w:lang w:val="en-US"/>
        </w:rPr>
        <w:t>M/M/1</w:t>
      </w:r>
      <w:r w:rsidR="004B4BEC">
        <w:rPr>
          <w:rFonts w:hint="cs"/>
          <w:rtl/>
          <w:lang w:val="en-US"/>
        </w:rPr>
        <w:t xml:space="preserve"> מתקיים כי </w:t>
      </w:r>
      <w:r w:rsidR="00144319">
        <w:rPr>
          <w:lang w:val="en-US"/>
        </w:rPr>
        <w:t xml:space="preserve">E(T)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μ- </m:t>
            </m:r>
            <m:r>
              <w:rPr>
                <w:rFonts w:ascii="Cambria Math" w:hAnsi="Cambria Math"/>
                <w:lang w:val="en-US"/>
              </w:rPr>
              <m:t>λ</m:t>
            </m:r>
          </m:den>
        </m:f>
      </m:oMath>
      <w:r w:rsidR="00B329C1">
        <w:rPr>
          <w:rFonts w:eastAsiaTheme="minorEastAsia" w:hint="cs"/>
          <w:rtl/>
          <w:lang w:val="en-US"/>
        </w:rPr>
        <w:t xml:space="preserve"> כאשר </w:t>
      </w:r>
      <w:r w:rsidR="00B329C1">
        <w:rPr>
          <w:rFonts w:eastAsiaTheme="minorEastAsia"/>
          <w:lang w:val="en-US"/>
        </w:rPr>
        <w:t>T</w:t>
      </w:r>
      <w:r w:rsidR="00B329C1">
        <w:rPr>
          <w:rFonts w:eastAsiaTheme="minorEastAsia" w:hint="cs"/>
          <w:rtl/>
          <w:lang w:val="en-US"/>
        </w:rPr>
        <w:t xml:space="preserve"> הוא זמן ההמתנה כלומר השירות ולכן במקרה שלנו נקבל כי </w:t>
      </w:r>
      <w:r w:rsidR="00B329C1">
        <w:rPr>
          <w:lang w:val="en-US"/>
        </w:rPr>
        <w:t xml:space="preserve">E(T) = </w:t>
      </w:r>
      <m:oMath>
        <m:r>
          <w:rPr>
            <w:rFonts w:ascii="Cambria Math" w:hAnsi="Cambria Math"/>
            <w:lang w:val="en-US"/>
          </w:rPr>
          <m:t>1</m:t>
        </m:r>
      </m:oMath>
      <w:r w:rsidR="00000738">
        <w:rPr>
          <w:rFonts w:eastAsiaTheme="minorEastAsia" w:hint="cs"/>
          <w:rtl/>
          <w:lang w:val="en-US"/>
        </w:rPr>
        <w:t>.</w:t>
      </w:r>
    </w:p>
    <w:p w14:paraId="35AE162C" w14:textId="283F7E93" w:rsidR="00000738" w:rsidRDefault="00D75054" w:rsidP="00000738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כעת נחשב את תוחלת מספר הצרכנים שקיבלו שירות: 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אנחנו יודעים שכל עוד </w:t>
      </w:r>
      <w:r w:rsidR="00583013">
        <w:rPr>
          <w:rFonts w:eastAsiaTheme="minorEastAsia" w:hint="cs"/>
          <w:rtl/>
          <w:lang w:val="en-US"/>
        </w:rPr>
        <w:t xml:space="preserve">התור לא ריק, קצב הטיפול </w:t>
      </w:r>
      <w:r w:rsidR="009B42CA">
        <w:rPr>
          <w:rFonts w:eastAsiaTheme="minorEastAsia" w:hint="cs"/>
          <w:rtl/>
          <w:lang w:val="en-US"/>
        </w:rPr>
        <w:t xml:space="preserve">הוא שני צרכנים ליחידת זמן, בסעיף 1 ראינו כי </w:t>
      </w:r>
      <w:r w:rsidR="000A6C7B">
        <w:rPr>
          <w:rFonts w:eastAsiaTheme="minorEastAsia" w:hint="cs"/>
          <w:rtl/>
          <w:lang w:val="en-US"/>
        </w:rPr>
        <w:t xml:space="preserve">ההסתברות שהתור ריק היא בערך חצי. כלומר חצי מהזמן התור מטפל בשני צרכנים ביחידה זמן ולכן בתוחלת קצב הטיפול הוא צרכן אחד ליחידת זמן. בגלל שאנחנו מריצים את התור במשך </w:t>
      </w:r>
      <w:r w:rsidR="00B80323">
        <w:rPr>
          <w:rFonts w:eastAsiaTheme="minorEastAsia" w:hint="cs"/>
          <w:rtl/>
          <w:lang w:val="en-US"/>
        </w:rPr>
        <w:t>5 יחידות זמן, תוחלת הצרכנים שיקבלו שירות היא 5.</w:t>
      </w:r>
    </w:p>
    <w:p w14:paraId="1EB49675" w14:textId="047E5538" w:rsidR="00B80323" w:rsidRPr="004D440F" w:rsidRDefault="00F166CA" w:rsidP="002C265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>הפער בין התוצאה התיאורטית לתוצאה בטבלה נובע מכך שביצענו מספר יחסית קטן של סימולציות</w:t>
      </w:r>
      <w:r w:rsidR="00025BE6">
        <w:rPr>
          <w:rFonts w:eastAsiaTheme="minorEastAsia" w:hint="cs"/>
          <w:rtl/>
          <w:lang w:val="en-US"/>
        </w:rPr>
        <w:t xml:space="preserve"> ובנוסף </w:t>
      </w:r>
      <w:r w:rsidR="00732CF8">
        <w:rPr>
          <w:rFonts w:eastAsiaTheme="minorEastAsia" w:hint="cs"/>
          <w:rtl/>
          <w:lang w:val="en-US"/>
        </w:rPr>
        <w:t>ל</w:t>
      </w:r>
      <w:r w:rsidR="00025BE6">
        <w:rPr>
          <w:rFonts w:eastAsiaTheme="minorEastAsia" w:hint="cs"/>
          <w:rtl/>
          <w:lang w:val="en-US"/>
        </w:rPr>
        <w:t>כך סימולציה רצה לזמן יחסית קצר</w:t>
      </w:r>
      <w:r w:rsidR="004D440F">
        <w:rPr>
          <w:rFonts w:eastAsiaTheme="minorEastAsia" w:hint="cs"/>
          <w:rtl/>
          <w:lang w:val="en-US"/>
        </w:rPr>
        <w:t xml:space="preserve"> מה השגרם לשונות גדולה בין תוצאות ההרצות.</w:t>
      </w:r>
      <w:r w:rsidR="00B25CE7">
        <w:rPr>
          <w:rFonts w:eastAsiaTheme="minorEastAsia" w:hint="cs"/>
          <w:rtl/>
          <w:lang w:val="en-US"/>
        </w:rPr>
        <w:t xml:space="preserve"> סיבה נוספת היא </w:t>
      </w:r>
      <w:r w:rsidR="003051BA">
        <w:rPr>
          <w:rFonts w:eastAsiaTheme="minorEastAsia" w:hint="cs"/>
          <w:rtl/>
          <w:lang w:val="en-US"/>
        </w:rPr>
        <w:t>שהסימולציה מתחילה ממצב של תור ריק ולא ממצב יציב ומכיוון שהריצה היא לזמן קצר יחסית, הזמן ההתחלתי אינו זניח.</w:t>
      </w:r>
    </w:p>
    <w:p w14:paraId="17E2FCC7" w14:textId="6B42B02E" w:rsidR="004D440F" w:rsidRDefault="00664ECA" w:rsidP="004D440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מהרצת הסימולציה עבור ערכי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שונים,</w:t>
      </w:r>
      <w:r w:rsidR="007D06F2">
        <w:rPr>
          <w:rFonts w:hint="cs"/>
          <w:rtl/>
          <w:lang w:val="en-US"/>
        </w:rPr>
        <w:t xml:space="preserve"> עבור מספר הצרכנים שקיבלו שירות,</w:t>
      </w:r>
      <w:r>
        <w:rPr>
          <w:rFonts w:hint="cs"/>
          <w:rtl/>
          <w:lang w:val="en-US"/>
        </w:rPr>
        <w:t xml:space="preserve"> קיבל</w:t>
      </w:r>
      <w:r w:rsidR="00732CF8">
        <w:rPr>
          <w:rFonts w:hint="cs"/>
          <w:rtl/>
          <w:lang w:val="en-US"/>
        </w:rPr>
        <w:t>נ</w:t>
      </w:r>
      <w:r>
        <w:rPr>
          <w:rFonts w:hint="cs"/>
          <w:rtl/>
          <w:lang w:val="en-US"/>
        </w:rPr>
        <w:t xml:space="preserve">ו כי עבור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=100 אחוז השגיאה הממוצעת</w:t>
      </w:r>
      <w:r w:rsidR="00F30B62">
        <w:rPr>
          <w:rFonts w:hint="cs"/>
          <w:rtl/>
          <w:lang w:val="en-US"/>
        </w:rPr>
        <w:t xml:space="preserve"> קטנה מתחת ל5%</w:t>
      </w:r>
      <w:r w:rsidR="001E4C72">
        <w:rPr>
          <w:rFonts w:hint="cs"/>
          <w:rtl/>
          <w:lang w:val="en-US"/>
        </w:rPr>
        <w:t xml:space="preserve"> ועבור </w:t>
      </w:r>
      <w:r w:rsidR="001E4C72">
        <w:rPr>
          <w:lang w:val="en-US"/>
        </w:rPr>
        <w:t>K</w:t>
      </w:r>
      <w:r w:rsidR="001E4C72">
        <w:rPr>
          <w:rFonts w:hint="cs"/>
          <w:rtl/>
          <w:lang w:val="en-US"/>
        </w:rPr>
        <w:t>=1500</w:t>
      </w:r>
      <w:r w:rsidR="001E4C72">
        <w:rPr>
          <w:lang w:val="en-US"/>
        </w:rPr>
        <w:t xml:space="preserve"> </w:t>
      </w:r>
      <w:r w:rsidR="001E4C72">
        <w:rPr>
          <w:rFonts w:hint="cs"/>
          <w:rtl/>
          <w:lang w:val="en-US"/>
        </w:rPr>
        <w:t xml:space="preserve"> השגיאה הממוצעת קטנה מתחת ל1%.</w:t>
      </w:r>
      <w:r w:rsidR="000B7E39">
        <w:rPr>
          <w:rFonts w:hint="cs"/>
          <w:rtl/>
          <w:lang w:val="en-US"/>
        </w:rPr>
        <w:t xml:space="preserve"> את התוצאות ניתן להסביר באמצעות החוק של המספרים הגדולים האומר שככל </w:t>
      </w:r>
      <w:r w:rsidR="00D80D4A">
        <w:rPr>
          <w:rFonts w:hint="cs"/>
          <w:rtl/>
          <w:lang w:val="en-US"/>
        </w:rPr>
        <w:t>שנגדיל את מספר הניסויים ממוצע תוצאות הניסויים יתקרב לתוחלת.</w:t>
      </w:r>
      <w:r w:rsidR="007D06F2">
        <w:rPr>
          <w:rtl/>
          <w:lang w:val="en-US"/>
        </w:rPr>
        <w:br/>
      </w:r>
      <w:r w:rsidR="007D06F2">
        <w:rPr>
          <w:rFonts w:hint="cs"/>
          <w:rtl/>
          <w:lang w:val="en-US"/>
        </w:rPr>
        <w:t xml:space="preserve">במקרה של </w:t>
      </w:r>
      <w:r w:rsidR="0026586D">
        <w:rPr>
          <w:rFonts w:hint="cs"/>
          <w:rtl/>
          <w:lang w:val="en-US"/>
        </w:rPr>
        <w:t xml:space="preserve">זמן ההמתנה הממוצע, קיבלנו כי גם כאשר מגדילים את </w:t>
      </w:r>
      <w:r w:rsidR="0026586D">
        <w:rPr>
          <w:lang w:val="en-US"/>
        </w:rPr>
        <w:t>K</w:t>
      </w:r>
      <w:r w:rsidR="0026586D">
        <w:rPr>
          <w:rFonts w:hint="cs"/>
          <w:rtl/>
          <w:lang w:val="en-US"/>
        </w:rPr>
        <w:t xml:space="preserve"> השגיאה אינה יורדת</w:t>
      </w:r>
      <w:r w:rsidR="002577D6">
        <w:rPr>
          <w:rFonts w:hint="cs"/>
          <w:rtl/>
          <w:lang w:val="en-US"/>
        </w:rPr>
        <w:t xml:space="preserve"> זאת בעקבות כך שבמקרה מתייחסים </w:t>
      </w:r>
      <w:r w:rsidR="00E17E12">
        <w:rPr>
          <w:rFonts w:hint="cs"/>
          <w:rtl/>
          <w:lang w:val="en-US"/>
        </w:rPr>
        <w:t>לכך שהתור נמצא במצב יציב בעוד שבסימולציה שלנו התור מתחיל ריק</w:t>
      </w:r>
      <w:r w:rsidR="006539F9">
        <w:rPr>
          <w:rFonts w:hint="cs"/>
          <w:rtl/>
          <w:lang w:val="en-US"/>
        </w:rPr>
        <w:t xml:space="preserve">, וכאשר הסימולציה רצה זמן קצר אז פרק הזמן שהתור ריק אינו זניח ולכן גם כאשר </w:t>
      </w:r>
      <w:r w:rsidR="006539F9">
        <w:rPr>
          <w:lang w:val="en-US"/>
        </w:rPr>
        <w:t>K</w:t>
      </w:r>
      <w:r w:rsidR="006539F9">
        <w:rPr>
          <w:rFonts w:hint="cs"/>
          <w:rtl/>
          <w:lang w:val="en-US"/>
        </w:rPr>
        <w:t xml:space="preserve"> גדל </w:t>
      </w:r>
      <w:r w:rsidR="0037382B">
        <w:rPr>
          <w:rFonts w:hint="cs"/>
          <w:rtl/>
          <w:lang w:val="en-US"/>
        </w:rPr>
        <w:t>התוצאה הממוצעת קטנה מהתוצאה התיאורטית והיא שואפת ל 0.75.</w:t>
      </w:r>
    </w:p>
    <w:p w14:paraId="05BC4426" w14:textId="3E64979F" w:rsidR="00D80D4A" w:rsidRPr="00B3373A" w:rsidRDefault="002B7893" w:rsidP="00D80D4A">
      <w:pPr>
        <w:pStyle w:val="ListParagraph"/>
        <w:numPr>
          <w:ilvl w:val="0"/>
          <w:numId w:val="2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דרך </w:t>
      </w:r>
      <w:r w:rsidR="000C1BF5">
        <w:rPr>
          <w:rFonts w:hint="cs"/>
          <w:rtl/>
          <w:lang w:val="en-US"/>
        </w:rPr>
        <w:t xml:space="preserve">נוספת להגדיל את הדיוק בתוצאות הסימולציה היא להריץ את הסימולציה לזמנים ארוכים יותר, </w:t>
      </w:r>
      <w:r w:rsidR="008B50AF">
        <w:rPr>
          <w:rFonts w:hint="cs"/>
          <w:rtl/>
          <w:lang w:val="en-US"/>
        </w:rPr>
        <w:t xml:space="preserve">עבור </w:t>
      </w:r>
      <w:r w:rsidR="008B50AF">
        <w:rPr>
          <w:lang w:val="en-US"/>
        </w:rPr>
        <w:t>T</w:t>
      </w:r>
      <w:r w:rsidR="008B50AF">
        <w:rPr>
          <w:rFonts w:hint="cs"/>
          <w:rtl/>
          <w:lang w:val="en-US"/>
        </w:rPr>
        <w:t xml:space="preserve"> = 10000, קיבלנו כי עבור </w:t>
      </w:r>
      <w:r w:rsidR="008B50AF">
        <w:rPr>
          <w:lang w:val="en-US"/>
        </w:rPr>
        <w:t>K</w:t>
      </w:r>
      <w:r w:rsidR="008B50AF">
        <w:rPr>
          <w:rFonts w:hint="cs"/>
          <w:rtl/>
          <w:lang w:val="en-US"/>
        </w:rPr>
        <w:t xml:space="preserve">=1 </w:t>
      </w:r>
      <w:r w:rsidR="00626888">
        <w:rPr>
          <w:rFonts w:hint="cs"/>
          <w:rtl/>
          <w:lang w:val="en-US"/>
        </w:rPr>
        <w:t>השגיאה של מספר הצרכנים שקיבלו שירות יורדת מתחת ל5% והשגיאה של זמן ההמתנה יורדת מתחת ל1%</w:t>
      </w:r>
      <w:r w:rsidR="00030654">
        <w:rPr>
          <w:rFonts w:hint="cs"/>
          <w:rtl/>
          <w:lang w:val="en-US"/>
        </w:rPr>
        <w:t xml:space="preserve"> ועבור </w:t>
      </w:r>
      <w:r w:rsidR="00030654">
        <w:rPr>
          <w:lang w:val="en-US"/>
        </w:rPr>
        <w:t>K</w:t>
      </w:r>
      <w:r w:rsidR="00030654">
        <w:rPr>
          <w:rFonts w:hint="cs"/>
          <w:rtl/>
          <w:lang w:val="en-US"/>
        </w:rPr>
        <w:t xml:space="preserve">=10 </w:t>
      </w:r>
      <w:r w:rsidR="00030654">
        <w:rPr>
          <w:rFonts w:hint="cs"/>
          <w:rtl/>
          <w:lang w:val="en-US"/>
        </w:rPr>
        <w:t>השגיאה של מספר הצרכנים שקיבלו שירות יורדת מתחת ל</w:t>
      </w:r>
      <w:r w:rsidR="00030654">
        <w:rPr>
          <w:rFonts w:hint="cs"/>
          <w:rtl/>
          <w:lang w:val="en-US"/>
        </w:rPr>
        <w:t>1</w:t>
      </w:r>
      <w:r w:rsidR="00030654">
        <w:rPr>
          <w:rFonts w:hint="cs"/>
          <w:rtl/>
          <w:lang w:val="en-US"/>
        </w:rPr>
        <w:t>% והשגיאה של זמן ההמתנה יורדת מתחת ל</w:t>
      </w:r>
      <w:r w:rsidR="00030654">
        <w:rPr>
          <w:rFonts w:hint="cs"/>
          <w:rtl/>
          <w:lang w:val="en-US"/>
        </w:rPr>
        <w:t>0.5</w:t>
      </w:r>
      <w:r w:rsidR="00030654">
        <w:rPr>
          <w:rFonts w:hint="cs"/>
          <w:rtl/>
          <w:lang w:val="en-US"/>
        </w:rPr>
        <w:t>%</w:t>
      </w:r>
      <w:r w:rsidR="00030654">
        <w:rPr>
          <w:rFonts w:hint="cs"/>
          <w:rtl/>
          <w:lang w:val="en-US"/>
        </w:rPr>
        <w:t>. תוצאה זו גם ניתנת להסבר באמצעות החוק של המספרים הגדולי</w:t>
      </w:r>
      <w:r w:rsidR="0071442C">
        <w:rPr>
          <w:rFonts w:hint="cs"/>
          <w:rtl/>
          <w:lang w:val="en-US"/>
        </w:rPr>
        <w:t>ם, מכיוון שסימולציה מורכבת מאוסף של "ניסויים" שהם בעצם הגרלה של מספרים בעלי התפלגות אספוננציאלית ולכן גם במקרה זה כאשר נבצע מספר גדול של ניסויים התוצאה תשאף לתוחלת.</w:t>
      </w:r>
    </w:p>
    <w:sectPr w:rsidR="00D80D4A" w:rsidRPr="00B33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27688"/>
    <w:multiLevelType w:val="hybridMultilevel"/>
    <w:tmpl w:val="CB5888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B399F"/>
    <w:multiLevelType w:val="hybridMultilevel"/>
    <w:tmpl w:val="5A586E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077240">
    <w:abstractNumId w:val="1"/>
  </w:num>
  <w:num w:numId="2" w16cid:durableId="85002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07"/>
    <w:rsid w:val="00000738"/>
    <w:rsid w:val="00025BE6"/>
    <w:rsid w:val="00030654"/>
    <w:rsid w:val="000A6C7B"/>
    <w:rsid w:val="000B7E39"/>
    <w:rsid w:val="000C1BF5"/>
    <w:rsid w:val="00144319"/>
    <w:rsid w:val="001E4C72"/>
    <w:rsid w:val="002577D6"/>
    <w:rsid w:val="0026586D"/>
    <w:rsid w:val="002B7893"/>
    <w:rsid w:val="002C265B"/>
    <w:rsid w:val="003051BA"/>
    <w:rsid w:val="0037382B"/>
    <w:rsid w:val="003A3D1B"/>
    <w:rsid w:val="00421815"/>
    <w:rsid w:val="004B4BEC"/>
    <w:rsid w:val="004D440F"/>
    <w:rsid w:val="004F509F"/>
    <w:rsid w:val="00583013"/>
    <w:rsid w:val="00626888"/>
    <w:rsid w:val="006539F9"/>
    <w:rsid w:val="00664ECA"/>
    <w:rsid w:val="0071442C"/>
    <w:rsid w:val="00732CF8"/>
    <w:rsid w:val="00772573"/>
    <w:rsid w:val="007D06F2"/>
    <w:rsid w:val="008234E5"/>
    <w:rsid w:val="008B50AF"/>
    <w:rsid w:val="00921F58"/>
    <w:rsid w:val="009B42CA"/>
    <w:rsid w:val="00A252A6"/>
    <w:rsid w:val="00B03D51"/>
    <w:rsid w:val="00B25CE7"/>
    <w:rsid w:val="00B329C1"/>
    <w:rsid w:val="00B3373A"/>
    <w:rsid w:val="00B80323"/>
    <w:rsid w:val="00CA5807"/>
    <w:rsid w:val="00D75054"/>
    <w:rsid w:val="00D80D4A"/>
    <w:rsid w:val="00E17E12"/>
    <w:rsid w:val="00E92AFE"/>
    <w:rsid w:val="00EE7B8E"/>
    <w:rsid w:val="00F166CA"/>
    <w:rsid w:val="00F30B62"/>
    <w:rsid w:val="00FC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96BA"/>
  <w15:chartTrackingRefBased/>
  <w15:docId w15:val="{701EF623-54F3-4936-B991-6F5C8BB6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8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1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37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Koren</dc:creator>
  <cp:keywords/>
  <dc:description/>
  <cp:lastModifiedBy>Niv Koren</cp:lastModifiedBy>
  <cp:revision>42</cp:revision>
  <dcterms:created xsi:type="dcterms:W3CDTF">2025-01-03T12:18:00Z</dcterms:created>
  <dcterms:modified xsi:type="dcterms:W3CDTF">2025-01-04T14:15:00Z</dcterms:modified>
</cp:coreProperties>
</file>