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5040"/>
        <w:gridCol w:w="5040"/>
      </w:tblGrid>
      <w:tr>
        <w:tc>
          <w:tcPr>
            <w:tcW w:type="dxa" w:w="5040"/>
            <w:tcBorders>
              <w:left w:val="nil"/>
              <w:right w:val="nil"/>
              <w:top w:val="nil"/>
              <w:bottom w:val="nil"/>
            </w:tcBorders>
          </w:tcPr>
          <w:p>
            <w:pPr>
              <w:spacing w:before="0" w:after="40" w:line="240" w:lineRule="auto"/>
              <w:jc w:val="center"/>
            </w:pPr>
            <w:r/>
            <w:r>
              <w:rPr>
                <w:rFonts w:ascii="Times New Roman" w:hAnsi="Times New Roman"/>
                <w:b/>
                <w:i w:val="0"/>
                <w:sz w:val="22"/>
              </w:rPr>
              <w:t>Alexander Apartsin</w:t>
            </w:r>
          </w:p>
        </w:tc>
        <w:tc>
          <w:tcPr>
            <w:tcW w:type="dxa" w:w="5040"/>
            <w:tcBorders>
              <w:left w:val="nil"/>
              <w:right w:val="nil"/>
              <w:top w:val="nil"/>
              <w:bottom w:val="nil"/>
            </w:tcBorders>
          </w:tcPr>
          <w:p>
            <w:pPr>
              <w:spacing w:before="0" w:after="40" w:line="240" w:lineRule="auto"/>
              <w:jc w:val="center"/>
            </w:pPr>
            <w:r/>
            <w:r>
              <w:rPr>
                <w:rFonts w:ascii="Times New Roman" w:hAnsi="Times New Roman"/>
                <w:b/>
                <w:i w:val="0"/>
                <w:sz w:val="22"/>
              </w:rPr>
              <w:t>Yehudit Aperstein</w:t>
            </w:r>
          </w:p>
        </w:tc>
      </w:tr>
      <w:tr>
        <w:tc>
          <w:tcPr>
            <w:tcW w:type="dxa" w:w="5040"/>
            <w:tcBorders>
              <w:left w:val="nil"/>
              <w:right w:val="nil"/>
              <w:top w:val="nil"/>
              <w:bottom w:val="nil"/>
            </w:tcBorders>
          </w:tcPr>
          <w:p>
            <w:pPr>
              <w:spacing w:before="0" w:after="120" w:line="240" w:lineRule="auto"/>
              <w:jc w:val="center"/>
            </w:pPr>
            <w:r/>
            <w:r>
              <w:rPr>
                <w:rFonts w:ascii="Times New Roman" w:hAnsi="Times New Roman"/>
                <w:b w:val="0"/>
                <w:i/>
                <w:sz w:val="19"/>
              </w:rPr>
              <w:t>Holon Institute of Technology, Israel</w:t>
            </w:r>
          </w:p>
        </w:tc>
        <w:tc>
          <w:tcPr>
            <w:tcW w:type="dxa" w:w="5040"/>
            <w:tcBorders>
              <w:left w:val="nil"/>
              <w:right w:val="nil"/>
              <w:top w:val="nil"/>
              <w:bottom w:val="nil"/>
            </w:tcBorders>
          </w:tcPr>
          <w:p>
            <w:pPr>
              <w:spacing w:before="0" w:after="120" w:line="240" w:lineRule="auto"/>
              <w:jc w:val="center"/>
            </w:pPr>
            <w:r/>
            <w:r>
              <w:rPr>
                <w:rFonts w:ascii="Times New Roman" w:hAnsi="Times New Roman"/>
                <w:b w:val="0"/>
                <w:i/>
                <w:sz w:val="19"/>
              </w:rPr>
              <w:t>Afeka Tel Aviv Academic College of Engineering, Israel</w:t>
            </w:r>
          </w:p>
        </w:tc>
      </w:tr>
    </w:tbl>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Choosing or ranking language models for a specific application is hardest when</w:t>
      </w:r>
      <w:r>
        <w:t xml:space="preserve"> </w:t>
      </w:r>
      <w:r>
        <w:rPr>
          <w:i/>
          <w:iCs/>
        </w:rPr>
        <w:t xml:space="preserve">no task-specific labeled data</w:t>
      </w:r>
      <w:r>
        <w:t xml:space="preserve"> </w:t>
      </w:r>
      <w:r>
        <w:t xml:space="preserve">exists and</w:t>
      </w:r>
      <w:r>
        <w:t xml:space="preserve"> </w:t>
      </w:r>
      <w:r>
        <w:rPr>
          <w:i/>
          <w:iCs/>
        </w:rPr>
        <w:t xml:space="preserve">standard public benchmarks cannot be trusted</w:t>
      </w:r>
      <w:r>
        <w:t xml:space="preserve">, their items having likely leaked into pretraining so</w:t>
      </w:r>
      <w:r>
        <w:t xml:space="preserve"> </w:t>
      </w:r>
      <w:r>
        <w:t xml:space="preserve">scores reflect memorization rather than fitness. We present</w:t>
      </w:r>
      <w:r>
        <w:t xml:space="preserve"> </w:t>
      </w:r>
      <w:r>
        <w:rPr>
          <w:b/>
          <w:bCs/>
        </w:rPr>
        <w:t xml:space="preserve">CoEval</w:t>
      </w:r>
      <w:r>
        <w:t xml:space="preserve">, an open-source, reusable framework</w:t>
      </w:r>
      <w:r>
        <w:t xml:space="preserve"> </w:t>
      </w:r>
      <w:r>
        <w:t xml:space="preserve">that closes this gap end to end: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 anew on</w:t>
      </w:r>
      <w:r>
        <w:t xml:space="preserve"> </w:t>
      </w:r>
      <w:r>
        <w:t xml:space="preserve">each run, and a cross-family judge ensemble ranks candidate models with no human raters. Validated where ground truth</w:t>
      </w:r>
      <w:r>
        <w:t xml:space="preserve"> </w:t>
      </w:r>
      <w:r>
        <w:t xml:space="preserve">exists, CoEval recovers the true model ranking and tracks ground-truth correctness at</w:t>
      </w:r>
      <w:r>
        <w:t xml:space="preserve"> </w:t>
      </w:r>
      <m:oMath>
        <m:r>
          <m:t>ρ</m:t>
        </m:r>
        <m:r>
          <m:rPr>
            <m:sty m:val="p"/>
          </m:rPr>
          <m:t>=</m:t>
        </m:r>
        <m:r>
          <m:t>0.86</m:t>
        </m:r>
      </m:oMath>
      <w:r>
        <w:t xml:space="preserve">. The label-free</w:t>
      </w:r>
      <w:r>
        <w:t xml:space="preserve"> </w:t>
      </w:r>
      <w:r>
        <w:t xml:space="preserve">judging needs no human calibration because judge-panel</w:t>
      </w:r>
      <w:r>
        <w:t xml:space="preserve"> </w:t>
      </w:r>
      <w:r>
        <w:rPr>
          <w:i/>
          <w:iCs/>
        </w:rPr>
        <w:t xml:space="preserve">composition</w:t>
      </w:r>
      <w:r>
        <w:t xml:space="preserve"> </w:t>
      </w:r>
      <w:r>
        <w:t xml:space="preserve">(vendor diversity), not</w:t>
      </w:r>
      <w:r>
        <w:t xml:space="preserve"> </w:t>
      </w:r>
      <w:r>
        <w:rPr>
          <w:i/>
          <w:iCs/>
        </w:rPr>
        <w:t xml:space="preserve">size</w:t>
      </w:r>
      <w:r>
        <w:t xml:space="preserve">,</w:t>
      </w:r>
      <w:r>
        <w:t xml:space="preserve"> </w:t>
      </w:r>
      <w:r>
        <w:t xml:space="preserve">drives reliability: a small, well-chosen cross-family panel is most reliable, while a single judge can be</w:t>
      </w:r>
      <w:r>
        <w:t xml:space="preserve"> </w:t>
      </w:r>
      <w:r>
        <w:t xml:space="preserve">anti-correlated with ground truth (judge-choice regret</w:t>
      </w:r>
      <w:r>
        <w:t xml:space="preserve"> </w:t>
      </w:r>
      <m:oMath>
        <m:r>
          <m:t>0.35</m:t>
        </m:r>
      </m:oMath>
      <w:r>
        <w:t xml:space="preserve">) and the ensemble never is. Generated items show</w:t>
      </w:r>
      <w:r>
        <w:t xml:space="preserve"> </w:t>
      </w:r>
      <m:oMath>
        <m:r>
          <m:t>0.0000</m:t>
        </m:r>
      </m:oMath>
      <w:r>
        <w:t xml:space="preserve"> </w:t>
      </w:r>
      <w:r>
        <w:t xml:space="preserve">verbatim 13-gram overlap with five major public benchmarks; the panel cancels verbosity bias and precludes</w:t>
      </w:r>
      <w:r>
        <w:t xml:space="preserve"> </w:t>
      </w:r>
      <w:r>
        <w:t xml:space="preserve">same-family self-preference. A four-task study produced 7,978 evaluations for USD 5.89. The same declarative pipeline</w:t>
      </w:r>
      <w:r>
        <w:t xml:space="preserve"> </w:t>
      </w:r>
      <w:r>
        <w:t xml:space="preserve">applies to any domain and is cheap enough to re-run on every model release: a label-free, contamination-free</w:t>
      </w:r>
      <w:r>
        <w:t xml:space="preserve"> </w:t>
      </w:r>
      <w:r>
        <w:t xml:space="preserve">leaderboard any team can regenerate for its own application.</w:t>
      </w:r>
    </w:p>
    <w:p>
      <w:pPr>
        <w:spacing w:before="120" w:after="120" w:line="120" w:lineRule="exact"/>
        <w:rPr>
          <w:sz w:val="12"/>
          <w:szCs w:val="1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This per-domain ranking is necessary rather than cosmetic: across four</w:t>
      </w:r>
      <w:r>
        <w:t xml:space="preserve"> </w:t>
      </w:r>
      <w:r>
        <w:t xml:space="preserve">de-novo domains three different models take first place (Section 5.8), so a single generic leaderboard</w:t>
      </w:r>
      <w:r>
        <w:t xml:space="preserve"> </w:t>
      </w:r>
      <w:r>
        <w:t xml:space="preserve">misdirects most domain practitioners.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067876"/>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6400800" cy="20678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declarative configuration.</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1.</w:t>
      </w:r>
      <w:r>
        <w:t xml:space="preserve"> </w:t>
      </w:r>
      <w:r>
        <w:t xml:space="preserve">Experimental configurations. Judge panels differ by experiment because the</w:t>
      </w:r>
      <w:r>
        <w:t xml:space="preserve"> </w:t>
      </w:r>
      <w:r>
        <w:t xml:space="preserve">ground-truth anchor (5.1) uses a frontier cross-family panel while the bias and reliability studies (5.2–5.3)</w:t>
      </w:r>
      <w:r>
        <w:t xml:space="preserve"> </w:t>
      </w:r>
      <w:r>
        <w:t xml:space="preserve">use a deliberately heterogeneous panel that includes weak open-weight judges; the verticals (5.4, 5.8) reuse one</w:t>
      </w:r>
      <w:r>
        <w:t xml:space="preserve"> </w:t>
      </w:r>
      <w:r>
        <w:t xml:space="preserve">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5.1–5.2 benchmark-grounded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200 memorized / 100 fresh</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3"/>
    <w:bookmarkStart w:id="4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5.5 shows the process is cheap enough to re-run per use case. Section 5.7 exercises the complete tool on three custom verticals (drug interaction, clinical, legal) with no labeled data, and Section 5.8 shows that rankings are domain-specific: across four de-novo domains three different models take first place, so a generic leaderboard misdirects the practitioner that CoEval's per-domain ranking serves.</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2.</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A single judge</w:t>
      </w:r>
      <w:r>
        <w:t xml:space="preserve"> </w:t>
      </w:r>
      <w:r>
        <w:t xml:space="preserve">is a gamble one cannot hedge in advance: on this task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CoEval recovers the true model ranking with no labels. For each student model</w:t>
      </w:r>
      <w:r>
        <w:t xml:space="preserve"> </w:t>
      </w:r>
      <w:r>
        <w:t xml:space="preserve">the CoEval frontier-ensemble accuracy score (green, datapoint-clustered 95% CI) and the held-out ground-truth</w:t>
      </w:r>
      <w:r>
        <w:t xml:space="preserve"> </w:t>
      </w:r>
      <w:r>
        <w:t xml:space="preserve">accuracy (blue) coincide within</w:t>
      </w:r>
      <w:r>
        <w:t xml:space="preserve"> </w:t>
      </w:r>
      <m:oMath>
        <m:r>
          <m:t>0.02</m:t>
        </m:r>
      </m:oMath>
      <w:r>
        <w:t xml:space="preserve">, and the order</w:t>
      </w:r>
      <w:r>
        <w:t xml:space="preserve"> </w:t>
      </w:r>
      <w:r>
        <w:rPr>
          <w:rStyle w:val="VerbatimChar"/>
        </w:rPr>
        <w:t xml:space="preserve">gpt-4o-mini</w:t>
      </w:r>
      <w:r>
        <w:t xml:space="preserve"> </w:t>
      </w:r>
      <w:r>
        <w:t xml:space="preserve">&gt;</w:t>
      </w:r>
      <w:r>
        <w:t xml:space="preserve"> </w:t>
      </w:r>
      <w:r>
        <w:rPr>
          <w:rStyle w:val="VerbatimChar"/>
        </w:rPr>
        <w:t xml:space="preserve">gpt-3.5-turbo</w:t>
      </w:r>
      <w:r>
        <w:t xml:space="preserve"> </w:t>
      </w:r>
      <w:r>
        <w:t xml:space="preserve">&gt;</w:t>
      </w:r>
      <w:r>
        <w:t xml:space="preserve"> </w:t>
      </w:r>
      <w:r>
        <w:rPr>
          <w:rStyle w:val="VerbatimChar"/>
        </w:rPr>
        <w:t xml:space="preserve">llama-3.2-3b</w:t>
      </w:r>
      <w:r>
        <w:t xml:space="preserve"> </w:t>
      </w:r>
      <w:r>
        <w:t xml:space="preserve">is reproduced exactly (cf. Table 3).</w:t>
      </w:r>
    </w:p>
    <w:p>
      <w:pPr>
        <w:pStyle w:val="TableCaption"/>
        <w:spacing w:before="120" w:after="60" w:line="240" w:lineRule="auto"/>
        <w:jc w:val="center"/>
        <w:keepNext/>
        <w:keepLines/>
        <w:widowControl w:val="1"/>
      </w:pPr>
      <w:r>
        <w:rPr>
          <w:b/>
          <w:bCs/>
        </w:rPr>
        <w:t xml:space="preserve">Table 3.</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rPr>
          <w:b/>
          <w:bCs/>
        </w:rPr>
        <w:t xml:space="preserve">Finding (self-validating panel).</w:t>
      </w:r>
      <w:r>
        <w:t xml:space="preserve"> </w:t>
      </w:r>
      <w:r>
        <w:t xml:space="preserve">A panel both suppresses and</w:t>
      </w:r>
      <w:r>
        <w:t xml:space="preserve"> </w:t>
      </w:r>
      <w:r>
        <w:rPr>
          <w:i/>
          <w:iCs/>
        </w:rPr>
        <w:t xml:space="preserve">diagnoses</w:t>
      </w:r>
      <w:r>
        <w:t xml:space="preserve"> </w:t>
      </w:r>
      <w:r>
        <w:t xml:space="preserve">bad judges with no</w:t>
      </w:r>
      <w:r>
        <w:t xml:space="preserve"> </w:t>
      </w:r>
      <w:r>
        <w:t xml:space="preserve">labels. Adding three broken judges (random, constant, anti-correlated) to a four-judge panel nearly halves the</w:t>
      </w:r>
      <w:r>
        <w:t xml:space="preserve"> </w:t>
      </w:r>
      <w:r>
        <w:t xml:space="preserve">plain-mean accuracy (</w:t>
      </w:r>
      <m:oMath>
        <m:r>
          <m:t>0.238</m:t>
        </m:r>
        <m:r>
          <m:rPr>
            <m:sty m:val="p"/>
          </m:rPr>
          <m:t>→</m:t>
        </m:r>
        <m:r>
          <m:t>0.126</m:t>
        </m:r>
      </m:oMath>
      <w:r>
        <w:t xml:space="preserve">); reliability weighting gives each broken judge weight</w:t>
      </w:r>
      <w:r>
        <w:t xml:space="preserve"> </w:t>
      </w:r>
      <m:oMath>
        <m:r>
          <m:t>0.000</m:t>
        </m:r>
      </m:oMath>
      <w:r>
        <w:t xml:space="preserve"> </w:t>
      </w:r>
      <w:r>
        <w:t xml:space="preserve">from peer</w:t>
      </w:r>
      <w:r>
        <w:t xml:space="preserve"> </w:t>
      </w:r>
      <w:r>
        <w:t xml:space="preserve">agreement alone and restores</w:t>
      </w:r>
      <w:r>
        <w:t xml:space="preserve"> </w:t>
      </w:r>
      <m:oMath>
        <m:r>
          <m:t>0.228</m:t>
        </m:r>
      </m:oMath>
      <w:r>
        <w:t xml:space="preserve">. A single judge has no internal check to fall back on.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5.7)</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the rogue judge receiving weight</w:t>
      </w:r>
      <w:r>
        <w:t xml:space="preserve"> </w:t>
      </w:r>
      <m:oMath>
        <m:r>
          <m:t>0.00</m:t>
        </m:r>
      </m:oMath>
      <w:r>
        <w:t xml:space="preserve">.</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4.</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4.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0.016</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BodyText"/>
        <w:jc w:val="both"/>
        <w:keepNext w:val="0"/>
        <w:keepLines w:val="0"/>
        <w:widowControl w:val="1"/>
      </w:pPr>
      <w:r>
        <w:rPr>
          <w:b/>
          <w:bCs/>
        </w:rPr>
        <w:t xml:space="preserve">Finding (discriminative generation).</w:t>
      </w:r>
      <w:r>
        <w:t xml:space="preserve"> </w:t>
      </w:r>
      <w:r>
        <w:t xml:space="preserve">A good teacher generates items that separate the models. On the</w:t>
      </w:r>
      <w:r>
        <w:t xml:space="preserve"> </w:t>
      </w:r>
      <m:oMath>
        <m:r>
          <m:t>120</m:t>
        </m:r>
      </m:oMath>
      <w:r>
        <w:t xml:space="preserve"> </w:t>
      </w:r>
      <w:r>
        <w:t xml:space="preserve">CoEval-generated vertical items,</w:t>
      </w:r>
      <w:r>
        <w:t xml:space="preserve"> </w:t>
      </w:r>
      <m:oMath>
        <m:r>
          <m:t>71</m:t>
        </m:r>
        <m:r>
          <m:rPr>
            <m:sty m:val="p"/>
          </m:rPr>
          <m:t>%</m:t>
        </m:r>
      </m:oMath>
      <w:r>
        <w:t xml:space="preserve"> </w:t>
      </w:r>
      <w:r>
        <w:t xml:space="preserve">are discriminative (candidate-score range</w:t>
      </w:r>
      <w:r>
        <w:t xml:space="preserve"> </w:t>
      </w:r>
      <m:oMath>
        <m:r>
          <m:rPr>
            <m:sty m:val="p"/>
          </m:rPr>
          <m:t>≥</m:t>
        </m:r>
        <m:r>
          <m:t>0.15</m:t>
        </m:r>
      </m:oMath>
      <w:r>
        <w:t xml:space="preserve">, mean range</w:t>
      </w:r>
      <w:r>
        <w:t xml:space="preserve"> </w:t>
      </w:r>
      <m:oMath>
        <m:r>
          <m:t>0.33</m:t>
        </m:r>
      </m:oMath>
      <w:r>
        <w:t xml:space="preserve">),</w:t>
      </w:r>
      <w:r>
        <w:t xml:space="preserve"> </w:t>
      </w:r>
      <w:r>
        <w:t xml:space="preserve">and the fraction tracks the true model separation (drug-interaction</w:t>
      </w:r>
      <w:r>
        <w:t xml:space="preserve"> </w:t>
      </w:r>
      <m:oMath>
        <m:r>
          <m:t>78</m:t>
        </m:r>
        <m:r>
          <m:rPr>
            <m:sty m:val="p"/>
          </m:rPr>
          <m:t>%</m:t>
        </m:r>
      </m:oMath>
      <w:r>
        <w:t xml:space="preserve">, legal</w:t>
      </w:r>
      <w:r>
        <w:t xml:space="preserve"> </w:t>
      </w:r>
      <m:oMath>
        <m:r>
          <m:t>85</m:t>
        </m:r>
        <m:r>
          <m:rPr>
            <m:sty m:val="p"/>
          </m:rPr>
          <m:t>%</m:t>
        </m:r>
      </m:oMath>
      <w:r>
        <w:t xml:space="preserve">, clinical</w:t>
      </w:r>
      <w:r>
        <w:t xml:space="preserve"> </w:t>
      </w:r>
      <m:oMath>
        <m:r>
          <m:t>50</m:t>
        </m:r>
        <m:r>
          <m:rPr>
            <m:sty m:val="p"/>
          </m:rPr>
          <m:t>%</m:t>
        </m:r>
      </m:oMath>
      <w:r>
        <w:t xml:space="preserve"> </w:t>
      </w:r>
      <w:r>
        <w:t xml:space="preserve">where two</w:t>
      </w:r>
      <w:r>
        <w:t xml:space="preserve"> </w:t>
      </w:r>
      <w:r>
        <w:t xml:space="preserve">models are genuinely close), so the generated benchmark carries the ranking signal a saturated benchmark lacks.</w:t>
      </w:r>
    </w:p>
    <w:p>
      <w:pPr>
        <w:pStyle w:val="TableCaption"/>
        <w:spacing w:before="120" w:after="60" w:line="240" w:lineRule="auto"/>
        <w:jc w:val="center"/>
        <w:keepNext/>
        <w:keepLines/>
        <w:widowControl w:val="1"/>
      </w:pPr>
      <w:r>
        <w:rPr>
          <w:b/>
          <w:bCs/>
        </w:rPr>
        <w:t xml:space="preserve">Table 5.</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39"/>
    <w:bookmarkStart w:id="40" w:name="X5b909f8979da9f44974797188bca91411bc1d26"/>
    <w:p>
      <w:pPr>
        <w:pStyle w:val="Heading3"/>
        <w:keepNext/>
        <w:keepLines/>
        <w:widowControl w:val="1"/>
      </w:pPr>
      <w:r>
        <w:t xml:space="preserve">5.8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 for USD 0.83.</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6).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BodyText"/>
        <w:jc w:val="both"/>
        <w:keepNext w:val="0"/>
        <w:keepLines w:val="0"/>
        <w:widowControl w:val="1"/>
      </w:pPr>
      <w:r>
        <w:rPr>
          <w:b/>
          <w:bCs/>
        </w:rPr>
        <w:t xml:space="preserve">Finding (domain-specific ranking).</w:t>
      </w:r>
      <w:r>
        <w:t xml:space="preserve"> </w:t>
      </w:r>
      <w:r>
        <w:t xml:space="preserve">Across four de-novo domains scored by one vendor-disjoint panel</w:t>
      </w:r>
      <w:r>
        <w:t xml:space="preserve"> </w:t>
      </w:r>
      <w:r>
        <w:t xml:space="preserve">(</w:t>
      </w:r>
      <m:oMath>
        <m:r>
          <m:t>1</m:t>
        </m:r>
        <m:r>
          <m:rPr>
            <m:sty m:val="p"/>
          </m:rPr>
          <m:t>,</m:t>
        </m:r>
        <m:r>
          <m:t>800</m:t>
        </m:r>
      </m:oMath>
      <w:r>
        <w:t xml:space="preserve"> </w:t>
      </w:r>
      <w:r>
        <w:t xml:space="preserve">evaluations), three different models take first place and the mean cross-domain rank agreement is weak</w:t>
      </w:r>
      <w:r>
        <w:t xml:space="preserve"> </w:t>
      </w:r>
      <w:r>
        <w:t xml:space="preserve">(Kendall </w:t>
      </w:r>
      <m:oMath>
        <m:r>
          <m:t>τ</m:t>
        </m:r>
        <m:r>
          <m:rPr>
            <m:sty m:val="p"/>
          </m:rPr>
          <m:t>=</m:t>
        </m:r>
        <m:r>
          <m:t>0.19</m:t>
        </m:r>
      </m:oMath>
      <w:r>
        <w:t xml:space="preserve">); the winners are bootstrap-stable (</w:t>
      </w:r>
      <m:oMath>
        <m:r>
          <m:t>P</m:t>
        </m:r>
        <m:r>
          <m:rPr>
            <m:sty m:val="p"/>
          </m:rPr>
          <m:t>(</m:t>
        </m:r>
        <m:r>
          <m:rPr>
            <m:nor/>
            <m:sty m:val="p"/>
          </m:rPr>
          <m:t>top</m:t>
        </m:r>
        <m:r>
          <m:rPr>
            <m:sty m:val="p"/>
          </m:rPr>
          <m:t>)</m:t>
        </m:r>
        <m:r>
          <m:rPr>
            <m:sty m:val="p"/>
          </m:rPr>
          <m:t>=</m:t>
        </m:r>
        <m:r>
          <m:t>0.88</m:t>
        </m:r>
      </m:oMath>
      <w:r>
        <w:t xml:space="preserve">–</w:t>
      </w:r>
      <m:oMath>
        <m:r>
          <m:t>1.00</m:t>
        </m:r>
      </m:oMath>
      <w:r>
        <w:t xml:space="preserve">). A generic</w:t>
      </w:r>
      <w:r>
        <w:t xml:space="preserve"> </w:t>
      </w:r>
      <w:r>
        <w:t xml:space="preserve">leaderboard that pools the domains crowns a model that is domain-best in only one of the four, so a single number</w:t>
      </w:r>
      <w:r>
        <w:t xml:space="preserve"> </w:t>
      </w:r>
      <w:r>
        <w:t xml:space="preserve">misdirects three of four domain practitioners. Domain-specific evaluation is the operation CoEval is built to perform.</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6.</w:t>
      </w:r>
      <w:r>
        <w:t xml:space="preserve"> </w:t>
      </w:r>
      <w:r>
        <w:t xml:space="preserve">The same six candidate models ranked by the same cross-family panel on four</w:t>
      </w:r>
      <w:r>
        <w:t xml:space="preserve"> </w:t>
      </w:r>
      <w:r>
        <w:t xml:space="preserve">CoEval-generated domains diverge: each cell is the model's rank (</w:t>
      </w:r>
      <m:oMath>
        <m:r>
          <m:t>1</m:t>
        </m:r>
      </m:oMath>
      <w:r>
        <w:t xml:space="preserve"> </w:t>
      </w:r>
      <w:r>
        <w:t xml:space="preserve">= best) in that domain, rows ordered by the</w:t>
      </w:r>
      <w:r>
        <w:t xml:space="preserve"> </w:t>
      </w:r>
      <w:r>
        <w:t xml:space="preserve">generic pooled leaderboard. Three distinct models win the four domains (highlighted), and the pooled-best model</w:t>
      </w:r>
      <w:r>
        <w:t xml:space="preserve"> </w:t>
      </w:r>
      <w:r>
        <w:t xml:space="preserve">(</w:t>
      </w:r>
      <w:r>
        <w:rPr>
          <w:rStyle w:val="VerbatimChar"/>
        </w:rPr>
        <w:t xml:space="preserve">gemini-flash</w:t>
      </w:r>
      <w:r>
        <w:t xml:space="preserve">) is domain-best in only one.</w:t>
      </w:r>
      <w:r>
        <w:t xml:space="preserve"> </w:t>
      </w:r>
      <w:r>
        <w:rPr>
          <w:rStyle w:val="VerbatimChar"/>
        </w:rPr>
        <w:t xml:space="preserve">gpt-4o-mini</w:t>
      </w:r>
      <w:r>
        <w:t xml:space="preserve"> </w:t>
      </w:r>
      <w:r>
        <w:t xml:space="preserve">swings from</w:t>
      </w:r>
      <w:r>
        <w:t xml:space="preserve"> </w:t>
      </w:r>
      <m:oMath>
        <m:r>
          <m:t>1</m:t>
        </m:r>
      </m:oMath>
      <w:r>
        <w:t xml:space="preserve">st to</w:t>
      </w:r>
      <w:r>
        <w:t xml:space="preserve"> </w:t>
      </w:r>
      <m:oMath>
        <m:r>
          <m:t>5</m:t>
        </m:r>
      </m:oMath>
      <w:r>
        <w:t xml:space="preserve">th and</w:t>
      </w:r>
      <w:r>
        <w:t xml:space="preserve"> </w:t>
      </w:r>
      <w:r>
        <w:rPr>
          <w:rStyle w:val="VerbatimChar"/>
        </w:rPr>
        <w:t xml:space="preserve">claude-3.5-haiku</w:t>
      </w:r>
      <w:r>
        <w:t xml:space="preserve"> </w:t>
      </w:r>
      <w:r>
        <w:t xml:space="preserve">from</w:t>
      </w:r>
      <w:r>
        <w:t xml:space="preserve"> </w:t>
      </w:r>
      <m:oMath>
        <m:r>
          <m:t>5</m:t>
        </m:r>
      </m:oMath>
      <w:r>
        <w:t xml:space="preserve">th to</w:t>
      </w:r>
      <w:r>
        <w:t xml:space="preserve"> </w:t>
      </w:r>
      <m:oMath>
        <m:r>
          <m:t>1</m:t>
        </m:r>
      </m:oMath>
      <w:r>
        <w:t xml:space="preserve">st across domains.</w:t>
      </w:r>
    </w:p>
    <w:tbl>
      <w:tblPr>
        <w:tblStyle w:val="Table"/>
        <w:tblW w:type="pct" w:w="5000"/>
        <w:jc w:val="center"/>
        <w:tblLook w:firstRow="1" w:lastRow="0" w:firstColumn="0" w:lastColumn="0" w:noHBand="0" w:noVBand="0" w:val="0020"/>
        <w:tblCaption w:val="Table 6.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Pooled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Clinical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Code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Legal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Math</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claude-3.5-haiku</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qwen-2.5-7b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llama-3.1-8b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gpt-3.5-turbo</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40"/>
    <w:bookmarkEnd w:id="41"/>
    <w:bookmarkStart w:id="4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up to</w:t>
      </w:r>
      <w:r>
        <w:t xml:space="preserve"> </w:t>
      </w:r>
      <w:r>
        <w:t xml:space="preserve">thirteen candidate models across four exact-match QA tasks, three custom verticals, a four-domain divergence study</w:t>
      </w:r>
      <w:r>
        <w:t xml:space="preserve"> </w:t>
      </w:r>
      <w:r>
        <w:t xml:space="preserve">(Section 5.8), and a thirteen-model rank-recovery check (Section 5.2); broader model pools and additional</w:t>
      </w:r>
      <w:r>
        <w:t xml:space="preserve"> </w:t>
      </w:r>
      <w:r>
        <w:t xml:space="preserve">domains would further 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2"/>
    <w:bookmarkStart w:id="4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declarative, and fully reproducible.</w:t>
      </w:r>
    </w:p>
    <w:bookmarkEnd w:id="43"/>
    <w:bookmarkStart w:id="110"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45"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4">
        <w:r>
          <w:rPr>
            <w:rStyle w:val="Hyperlink"/>
          </w:rPr>
          <w:t xml:space="preserve">arxiv.org/abs/2306.05685</w:t>
        </w:r>
      </w:hyperlink>
      <w:bookmarkEnd w:id="45"/>
    </w:p>
    <w:p>
      <w:pPr>
        <w:pStyle w:val="ReferenceEntry"/>
        <w:numPr>
          <w:ilvl w:val="0"/>
          <w:numId w:val="1002"/>
        </w:numPr>
        <w:jc w:val="left"/>
        <w:keepNext w:val="0"/>
        <w:keepLines w:val="0"/>
        <w:widowControl w:val="1"/>
      </w:pPr>
      <w:bookmarkStart w:id="47"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6">
        <w:r>
          <w:rPr>
            <w:rStyle w:val="Hyperlink"/>
          </w:rPr>
          <w:t xml:space="preserve">arxiv.org/abs/2303.16634</w:t>
        </w:r>
      </w:hyperlink>
      <w:bookmarkEnd w:id="47"/>
    </w:p>
    <w:p>
      <w:pPr>
        <w:pStyle w:val="ReferenceEntry"/>
        <w:numPr>
          <w:ilvl w:val="0"/>
          <w:numId w:val="1002"/>
        </w:numPr>
        <w:jc w:val="left"/>
        <w:keepNext w:val="0"/>
        <w:keepLines w:val="0"/>
        <w:widowControl w:val="1"/>
      </w:pPr>
      <w:bookmarkStart w:id="49"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8">
        <w:r>
          <w:rPr>
            <w:rStyle w:val="Hyperlink"/>
          </w:rPr>
          <w:t xml:space="preserve">arxiv.org/abs/2405.01535</w:t>
        </w:r>
      </w:hyperlink>
      <w:bookmarkEnd w:id="49"/>
    </w:p>
    <w:p>
      <w:pPr>
        <w:pStyle w:val="ReferenceEntry"/>
        <w:numPr>
          <w:ilvl w:val="0"/>
          <w:numId w:val="1002"/>
        </w:numPr>
        <w:jc w:val="left"/>
        <w:keepNext w:val="0"/>
        <w:keepLines w:val="0"/>
        <w:widowControl w:val="1"/>
      </w:pPr>
      <w:bookmarkStart w:id="51"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0">
        <w:r>
          <w:rPr>
            <w:rStyle w:val="Hyperlink"/>
          </w:rPr>
          <w:t xml:space="preserve">arxiv.org/abs/2407.10817</w:t>
        </w:r>
      </w:hyperlink>
      <w:bookmarkEnd w:id="51"/>
    </w:p>
    <w:p>
      <w:pPr>
        <w:pStyle w:val="ReferenceEntry"/>
        <w:numPr>
          <w:ilvl w:val="0"/>
          <w:numId w:val="1002"/>
        </w:numPr>
        <w:jc w:val="left"/>
        <w:keepNext w:val="0"/>
        <w:keepLines w:val="0"/>
        <w:widowControl w:val="1"/>
      </w:pPr>
      <w:bookmarkStart w:id="53"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2">
        <w:r>
          <w:rPr>
            <w:rStyle w:val="Hyperlink"/>
          </w:rPr>
          <w:t xml:space="preserve">arxiv.org/abs/2404.18796</w:t>
        </w:r>
      </w:hyperlink>
      <w:bookmarkEnd w:id="53"/>
    </w:p>
    <w:p>
      <w:pPr>
        <w:pStyle w:val="ReferenceEntry"/>
        <w:numPr>
          <w:ilvl w:val="0"/>
          <w:numId w:val="1002"/>
        </w:numPr>
        <w:jc w:val="left"/>
        <w:keepNext w:val="0"/>
        <w:keepLines w:val="0"/>
        <w:widowControl w:val="1"/>
      </w:pPr>
      <w:bookmarkStart w:id="55"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4">
        <w:r>
          <w:rPr>
            <w:rStyle w:val="Hyperlink"/>
          </w:rPr>
          <w:t xml:space="preserve">arxiv.org/abs/2410.12784</w:t>
        </w:r>
      </w:hyperlink>
      <w:bookmarkEnd w:id="55"/>
    </w:p>
    <w:p>
      <w:pPr>
        <w:pStyle w:val="ReferenceEntry"/>
        <w:numPr>
          <w:ilvl w:val="0"/>
          <w:numId w:val="1002"/>
        </w:numPr>
        <w:jc w:val="left"/>
        <w:keepNext w:val="0"/>
        <w:keepLines w:val="0"/>
        <w:widowControl w:val="1"/>
      </w:pPr>
      <w:bookmarkStart w:id="57"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6">
        <w:r>
          <w:rPr>
            <w:rStyle w:val="Hyperlink"/>
          </w:rPr>
          <w:t xml:space="preserve">arxiv.org/abs/2406.05761</w:t>
        </w:r>
      </w:hyperlink>
      <w:bookmarkEnd w:id="57"/>
    </w:p>
    <w:p>
      <w:pPr>
        <w:pStyle w:val="ReferenceEntry"/>
        <w:numPr>
          <w:ilvl w:val="0"/>
          <w:numId w:val="1002"/>
        </w:numPr>
        <w:jc w:val="left"/>
        <w:keepNext w:val="0"/>
        <w:keepLines w:val="0"/>
        <w:widowControl w:val="1"/>
      </w:pPr>
      <w:bookmarkStart w:id="59"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8">
        <w:r>
          <w:rPr>
            <w:rStyle w:val="Hyperlink"/>
          </w:rPr>
          <w:t xml:space="preserve">arxiv.org/abs/2404.04475</w:t>
        </w:r>
      </w:hyperlink>
      <w:bookmarkEnd w:id="59"/>
    </w:p>
    <w:p>
      <w:pPr>
        <w:pStyle w:val="ReferenceEntry"/>
        <w:numPr>
          <w:ilvl w:val="0"/>
          <w:numId w:val="1002"/>
        </w:numPr>
        <w:jc w:val="left"/>
        <w:keepNext w:val="0"/>
        <w:keepLines w:val="0"/>
        <w:widowControl w:val="1"/>
      </w:pPr>
      <w:bookmarkStart w:id="61" w:name="r9"/>
      <w:r>
        <w:t xml:space="preserve">Li, X. L., Kazemi, M., et al. (2024).</w:t>
      </w:r>
      <w:r>
        <w:t xml:space="preserve"> </w:t>
      </w:r>
      <w:r>
        <w:rPr>
          <w:i/>
          <w:iCs/>
        </w:rPr>
        <w:t xml:space="preserve">AutoBencher: Towards Declarative Benchmark Construction.</w:t>
      </w:r>
      <w:r>
        <w:t xml:space="preserve"> </w:t>
      </w:r>
      <w:hyperlink r:id="rId60">
        <w:r>
          <w:rPr>
            <w:rStyle w:val="Hyperlink"/>
          </w:rPr>
          <w:t xml:space="preserve">arxiv.org/abs/2407.08351</w:t>
        </w:r>
      </w:hyperlink>
      <w:bookmarkEnd w:id="61"/>
    </w:p>
    <w:p>
      <w:pPr>
        <w:pStyle w:val="ReferenceEntry"/>
        <w:numPr>
          <w:ilvl w:val="0"/>
          <w:numId w:val="1002"/>
        </w:numPr>
        <w:jc w:val="left"/>
        <w:keepNext w:val="0"/>
        <w:keepLines w:val="0"/>
        <w:widowControl w:val="1"/>
      </w:pPr>
      <w:bookmarkStart w:id="63"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2">
        <w:r>
          <w:rPr>
            <w:rStyle w:val="Hyperlink"/>
          </w:rPr>
          <w:t xml:space="preserve">arxiv.org/abs/2410.22584</w:t>
        </w:r>
      </w:hyperlink>
      <w:bookmarkEnd w:id="63"/>
    </w:p>
    <w:p>
      <w:pPr>
        <w:pStyle w:val="ReferenceEntry"/>
        <w:numPr>
          <w:ilvl w:val="0"/>
          <w:numId w:val="1002"/>
        </w:numPr>
        <w:jc w:val="left"/>
        <w:keepNext w:val="0"/>
        <w:keepLines w:val="0"/>
        <w:widowControl w:val="1"/>
      </w:pPr>
      <w:bookmarkStart w:id="65" w:name="r11"/>
      <w:r>
        <w:t xml:space="preserve">Shashidhar, S., et al. (2025).</w:t>
      </w:r>
      <w:r>
        <w:t xml:space="preserve"> </w:t>
      </w:r>
      <w:r>
        <w:rPr>
          <w:i/>
          <w:iCs/>
        </w:rPr>
        <w:t xml:space="preserve">YourBench: Easy Custom Evaluation Sets for Everyone.</w:t>
      </w:r>
      <w:r>
        <w:t xml:space="preserve"> </w:t>
      </w:r>
      <w:hyperlink r:id="rId64">
        <w:r>
          <w:rPr>
            <w:rStyle w:val="Hyperlink"/>
          </w:rPr>
          <w:t xml:space="preserve">arxiv.org/abs/2504.01833</w:t>
        </w:r>
      </w:hyperlink>
      <w:bookmarkEnd w:id="65"/>
    </w:p>
    <w:p>
      <w:pPr>
        <w:pStyle w:val="ReferenceEntry"/>
        <w:numPr>
          <w:ilvl w:val="0"/>
          <w:numId w:val="1002"/>
        </w:numPr>
        <w:jc w:val="left"/>
        <w:keepNext w:val="0"/>
        <w:keepLines w:val="0"/>
        <w:widowControl w:val="1"/>
      </w:pPr>
      <w:bookmarkStart w:id="67"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6">
        <w:r>
          <w:rPr>
            <w:rStyle w:val="Hyperlink"/>
          </w:rPr>
          <w:t xml:space="preserve">arxiv.org/abs/2405.00332</w:t>
        </w:r>
      </w:hyperlink>
      <w:bookmarkEnd w:id="67"/>
    </w:p>
    <w:p>
      <w:pPr>
        <w:pStyle w:val="ReferenceEntry"/>
        <w:numPr>
          <w:ilvl w:val="0"/>
          <w:numId w:val="1002"/>
        </w:numPr>
        <w:jc w:val="left"/>
        <w:keepNext w:val="0"/>
        <w:keepLines w:val="0"/>
        <w:widowControl w:val="1"/>
      </w:pPr>
      <w:bookmarkStart w:id="69" w:name="r13"/>
      <w:r>
        <w:t xml:space="preserve">Xu, C., et al. (2025).</w:t>
      </w:r>
      <w:r>
        <w:t xml:space="preserve"> </w:t>
      </w:r>
      <w:r>
        <w:rPr>
          <w:i/>
          <w:iCs/>
        </w:rPr>
        <w:t xml:space="preserve">Benchmark Data Contamination of Large Language Models: A Survey.</w:t>
      </w:r>
      <w:r>
        <w:t xml:space="preserve"> </w:t>
      </w:r>
      <w:hyperlink r:id="rId68">
        <w:r>
          <w:rPr>
            <w:rStyle w:val="Hyperlink"/>
          </w:rPr>
          <w:t xml:space="preserve">arxiv.org/abs/2502.14425</w:t>
        </w:r>
      </w:hyperlink>
      <w:bookmarkEnd w:id="69"/>
    </w:p>
    <w:p>
      <w:pPr>
        <w:pStyle w:val="ReferenceEntry"/>
        <w:numPr>
          <w:ilvl w:val="0"/>
          <w:numId w:val="1002"/>
        </w:numPr>
        <w:jc w:val="left"/>
        <w:keepNext w:val="0"/>
        <w:keepLines w:val="0"/>
        <w:widowControl w:val="1"/>
      </w:pPr>
      <w:bookmarkStart w:id="71"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0">
        <w:r>
          <w:rPr>
            <w:rStyle w:val="Hyperlink"/>
          </w:rPr>
          <w:t xml:space="preserve">arxiv.org/abs/2104.14337</w:t>
        </w:r>
      </w:hyperlink>
      <w:bookmarkEnd w:id="71"/>
    </w:p>
    <w:p>
      <w:pPr>
        <w:pStyle w:val="ReferenceEntry"/>
        <w:numPr>
          <w:ilvl w:val="0"/>
          <w:numId w:val="1002"/>
        </w:numPr>
        <w:jc w:val="left"/>
        <w:keepNext w:val="0"/>
        <w:keepLines w:val="0"/>
        <w:widowControl w:val="1"/>
      </w:pPr>
      <w:bookmarkStart w:id="73"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2">
        <w:r>
          <w:rPr>
            <w:rStyle w:val="Hyperlink"/>
          </w:rPr>
          <w:t xml:space="preserve">arxiv.org/abs/2502.01534</w:t>
        </w:r>
      </w:hyperlink>
      <w:bookmarkEnd w:id="73"/>
    </w:p>
    <w:p>
      <w:pPr>
        <w:pStyle w:val="ReferenceEntry"/>
        <w:numPr>
          <w:ilvl w:val="0"/>
          <w:numId w:val="1002"/>
        </w:numPr>
        <w:jc w:val="left"/>
        <w:keepNext w:val="0"/>
        <w:keepLines w:val="0"/>
        <w:widowControl w:val="1"/>
      </w:pPr>
      <w:bookmarkStart w:id="75"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4">
        <w:r>
          <w:rPr>
            <w:rStyle w:val="Hyperlink"/>
          </w:rPr>
          <w:t xml:space="preserve">arxiv.org/abs/2508.06709</w:t>
        </w:r>
      </w:hyperlink>
      <w:bookmarkEnd w:id="75"/>
    </w:p>
    <w:p>
      <w:pPr>
        <w:pStyle w:val="ReferenceEntry"/>
        <w:numPr>
          <w:ilvl w:val="0"/>
          <w:numId w:val="1002"/>
        </w:numPr>
        <w:jc w:val="left"/>
        <w:keepNext w:val="0"/>
        <w:keepLines w:val="0"/>
        <w:widowControl w:val="1"/>
      </w:pPr>
      <w:bookmarkStart w:id="77"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6">
        <w:r>
          <w:rPr>
            <w:rStyle w:val="Hyperlink"/>
          </w:rPr>
          <w:t xml:space="preserve">arxiv.org/abs/2410.02736</w:t>
        </w:r>
      </w:hyperlink>
      <w:bookmarkEnd w:id="77"/>
    </w:p>
    <w:p>
      <w:pPr>
        <w:pStyle w:val="ReferenceEntry"/>
        <w:numPr>
          <w:ilvl w:val="0"/>
          <w:numId w:val="1002"/>
        </w:numPr>
        <w:jc w:val="left"/>
        <w:keepNext w:val="0"/>
        <w:keepLines w:val="0"/>
        <w:widowControl w:val="1"/>
      </w:pPr>
      <w:bookmarkStart w:id="79" w:name="r18"/>
      <w:r>
        <w:t xml:space="preserve">Wataoka, K., Takahashi, T., Ri, R. (2024).</w:t>
      </w:r>
      <w:r>
        <w:t xml:space="preserve"> </w:t>
      </w:r>
      <w:r>
        <w:rPr>
          <w:i/>
          <w:iCs/>
        </w:rPr>
        <w:t xml:space="preserve">Self-Preference Bias in LLM-as-a-Judge.</w:t>
      </w:r>
      <w:r>
        <w:t xml:space="preserve"> </w:t>
      </w:r>
      <w:hyperlink r:id="rId78">
        <w:r>
          <w:rPr>
            <w:rStyle w:val="Hyperlink"/>
          </w:rPr>
          <w:t xml:space="preserve">arxiv.org/abs/2410.21819</w:t>
        </w:r>
      </w:hyperlink>
      <w:bookmarkEnd w:id="79"/>
    </w:p>
    <w:p>
      <w:pPr>
        <w:pStyle w:val="ReferenceEntry"/>
        <w:numPr>
          <w:ilvl w:val="0"/>
          <w:numId w:val="1002"/>
        </w:numPr>
        <w:jc w:val="left"/>
        <w:keepNext w:val="0"/>
        <w:keepLines w:val="0"/>
        <w:widowControl w:val="1"/>
      </w:pPr>
      <w:bookmarkStart w:id="81" w:name="r19"/>
      <w:r>
        <w:t xml:space="preserve">Gu, J., Jiang, X., Shi, Z., et al. (2024).</w:t>
      </w:r>
      <w:r>
        <w:t xml:space="preserve"> </w:t>
      </w:r>
      <w:r>
        <w:rPr>
          <w:i/>
          <w:iCs/>
        </w:rPr>
        <w:t xml:space="preserve">A Survey on LLM-as-a-Judge.</w:t>
      </w:r>
      <w:r>
        <w:t xml:space="preserve"> </w:t>
      </w:r>
      <w:hyperlink r:id="rId80">
        <w:r>
          <w:rPr>
            <w:rStyle w:val="Hyperlink"/>
          </w:rPr>
          <w:t xml:space="preserve">arxiv.org/abs/2411.15594</w:t>
        </w:r>
      </w:hyperlink>
      <w:bookmarkEnd w:id="81"/>
    </w:p>
    <w:p>
      <w:pPr>
        <w:pStyle w:val="ReferenceEntry"/>
        <w:numPr>
          <w:ilvl w:val="0"/>
          <w:numId w:val="1002"/>
        </w:numPr>
        <w:jc w:val="left"/>
        <w:keepNext w:val="0"/>
        <w:keepLines w:val="0"/>
        <w:widowControl w:val="1"/>
      </w:pPr>
      <w:bookmarkStart w:id="83"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2">
        <w:r>
          <w:rPr>
            <w:rStyle w:val="Hyperlink"/>
          </w:rPr>
          <w:t xml:space="preserve">arxiv.org/abs/2411.16594</w:t>
        </w:r>
      </w:hyperlink>
      <w:bookmarkEnd w:id="83"/>
    </w:p>
    <w:p>
      <w:pPr>
        <w:pStyle w:val="ReferenceEntry"/>
        <w:numPr>
          <w:ilvl w:val="0"/>
          <w:numId w:val="1002"/>
        </w:numPr>
        <w:jc w:val="left"/>
        <w:keepNext w:val="0"/>
        <w:keepLines w:val="0"/>
        <w:widowControl w:val="1"/>
      </w:pPr>
      <w:bookmarkStart w:id="85"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4">
        <w:r>
          <w:rPr>
            <w:rStyle w:val="Hyperlink"/>
          </w:rPr>
          <w:t xml:space="preserve">arxiv.org/abs/2308.07201</w:t>
        </w:r>
      </w:hyperlink>
      <w:bookmarkEnd w:id="85"/>
    </w:p>
    <w:p>
      <w:pPr>
        <w:pStyle w:val="ReferenceEntry"/>
        <w:numPr>
          <w:ilvl w:val="0"/>
          <w:numId w:val="1002"/>
        </w:numPr>
        <w:jc w:val="left"/>
        <w:keepNext w:val="0"/>
        <w:keepLines w:val="0"/>
        <w:widowControl w:val="1"/>
      </w:pPr>
      <w:bookmarkStart w:id="87"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6">
        <w:r>
          <w:rPr>
            <w:rStyle w:val="Hyperlink"/>
          </w:rPr>
          <w:t xml:space="preserve">arxiv.org/abs/2406.19314</w:t>
        </w:r>
      </w:hyperlink>
      <w:bookmarkEnd w:id="87"/>
    </w:p>
    <w:p>
      <w:pPr>
        <w:pStyle w:val="ReferenceEntry"/>
        <w:numPr>
          <w:ilvl w:val="0"/>
          <w:numId w:val="1002"/>
        </w:numPr>
        <w:jc w:val="left"/>
        <w:keepNext w:val="0"/>
        <w:keepLines w:val="0"/>
        <w:widowControl w:val="1"/>
      </w:pPr>
      <w:bookmarkStart w:id="89"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8">
        <w:r>
          <w:rPr>
            <w:rStyle w:val="Hyperlink"/>
          </w:rPr>
          <w:t xml:space="preserve">arxiv.org/abs/2403.07974</w:t>
        </w:r>
      </w:hyperlink>
      <w:bookmarkEnd w:id="89"/>
    </w:p>
    <w:p>
      <w:pPr>
        <w:pStyle w:val="ReferenceEntry"/>
        <w:numPr>
          <w:ilvl w:val="0"/>
          <w:numId w:val="1002"/>
        </w:numPr>
        <w:jc w:val="left"/>
        <w:keepNext w:val="0"/>
        <w:keepLines w:val="0"/>
        <w:widowControl w:val="1"/>
      </w:pPr>
      <w:bookmarkStart w:id="91"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0">
        <w:r>
          <w:rPr>
            <w:rStyle w:val="Hyperlink"/>
          </w:rPr>
          <w:t xml:space="preserve">arxiv.org/abs/2504.03846</w:t>
        </w:r>
      </w:hyperlink>
      <w:bookmarkEnd w:id="91"/>
    </w:p>
    <w:p>
      <w:pPr>
        <w:pStyle w:val="ReferenceEntry"/>
        <w:numPr>
          <w:ilvl w:val="0"/>
          <w:numId w:val="1002"/>
        </w:numPr>
        <w:jc w:val="left"/>
        <w:keepNext w:val="0"/>
        <w:keepLines w:val="0"/>
        <w:widowControl w:val="1"/>
      </w:pPr>
      <w:bookmarkStart w:id="93"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2">
        <w:r>
          <w:rPr>
            <w:rStyle w:val="Hyperlink"/>
          </w:rPr>
          <w:t xml:space="preserve">arxiv.org/abs/2408.08808</w:t>
        </w:r>
      </w:hyperlink>
      <w:bookmarkEnd w:id="93"/>
    </w:p>
    <w:p>
      <w:pPr>
        <w:pStyle w:val="ReferenceEntry"/>
        <w:numPr>
          <w:ilvl w:val="0"/>
          <w:numId w:val="1002"/>
        </w:numPr>
        <w:jc w:val="left"/>
        <w:keepNext w:val="0"/>
        <w:keepLines w:val="0"/>
        <w:widowControl w:val="1"/>
      </w:pPr>
      <w:bookmarkStart w:id="95" w:name="r26"/>
      <w:r>
        <w:t xml:space="preserve">Li, Y., et al. (2025).</w:t>
      </w:r>
      <w:r>
        <w:t xml:space="preserve"> </w:t>
      </w:r>
      <w:r>
        <w:rPr>
          <w:i/>
          <w:iCs/>
        </w:rPr>
        <w:t xml:space="preserve">Leveraging LLMs as Meta-Judges: A Multi-Agent Framework.</w:t>
      </w:r>
      <w:r>
        <w:t xml:space="preserve"> </w:t>
      </w:r>
      <w:hyperlink r:id="rId94">
        <w:r>
          <w:rPr>
            <w:rStyle w:val="Hyperlink"/>
          </w:rPr>
          <w:t xml:space="preserve">arxiv.org/abs/2504.17087</w:t>
        </w:r>
      </w:hyperlink>
      <w:bookmarkEnd w:id="95"/>
    </w:p>
    <w:p>
      <w:pPr>
        <w:pStyle w:val="ReferenceEntry"/>
        <w:numPr>
          <w:ilvl w:val="0"/>
          <w:numId w:val="1002"/>
        </w:numPr>
        <w:jc w:val="left"/>
        <w:keepNext w:val="0"/>
        <w:keepLines w:val="0"/>
        <w:widowControl w:val="1"/>
      </w:pPr>
      <w:bookmarkStart w:id="97"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6">
        <w:r>
          <w:rPr>
            <w:rStyle w:val="Hyperlink"/>
          </w:rPr>
          <w:t xml:space="preserve">arxiv.org/abs/2602.16610</w:t>
        </w:r>
      </w:hyperlink>
      <w:bookmarkEnd w:id="97"/>
    </w:p>
    <w:p>
      <w:pPr>
        <w:pStyle w:val="ReferenceEntry"/>
        <w:numPr>
          <w:ilvl w:val="0"/>
          <w:numId w:val="1002"/>
        </w:numPr>
        <w:jc w:val="left"/>
        <w:keepNext w:val="0"/>
        <w:keepLines w:val="0"/>
        <w:widowControl w:val="1"/>
      </w:pPr>
      <w:bookmarkStart w:id="99"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8">
        <w:r>
          <w:rPr>
            <w:rStyle w:val="Hyperlink"/>
          </w:rPr>
          <w:t xml:space="preserve">arxiv.org/abs/2603.00039</w:t>
        </w:r>
      </w:hyperlink>
      <w:bookmarkEnd w:id="99"/>
    </w:p>
    <w:p>
      <w:pPr>
        <w:pStyle w:val="ReferenceEntry"/>
        <w:numPr>
          <w:ilvl w:val="0"/>
          <w:numId w:val="1002"/>
        </w:numPr>
        <w:jc w:val="left"/>
        <w:keepNext w:val="0"/>
        <w:keepLines w:val="0"/>
        <w:widowControl w:val="1"/>
      </w:pPr>
      <w:bookmarkStart w:id="101"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0">
        <w:r>
          <w:rPr>
            <w:rStyle w:val="Hyperlink"/>
          </w:rPr>
          <w:t xml:space="preserve">arxiv.org/abs/2601.21817</w:t>
        </w:r>
      </w:hyperlink>
      <w:bookmarkEnd w:id="101"/>
    </w:p>
    <w:p>
      <w:pPr>
        <w:pStyle w:val="ReferenceEntry"/>
        <w:numPr>
          <w:ilvl w:val="0"/>
          <w:numId w:val="1002"/>
        </w:numPr>
        <w:jc w:val="left"/>
        <w:keepNext w:val="0"/>
        <w:keepLines w:val="0"/>
        <w:widowControl w:val="1"/>
      </w:pPr>
      <w:bookmarkStart w:id="103"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2">
        <w:r>
          <w:rPr>
            <w:rStyle w:val="Hyperlink"/>
          </w:rPr>
          <w:t xml:space="preserve">arxiv.org/abs/2502.14678</w:t>
        </w:r>
      </w:hyperlink>
      <w:bookmarkEnd w:id="103"/>
    </w:p>
    <w:p>
      <w:pPr>
        <w:pStyle w:val="ReferenceEntry"/>
        <w:numPr>
          <w:ilvl w:val="0"/>
          <w:numId w:val="1002"/>
        </w:numPr>
        <w:jc w:val="left"/>
        <w:keepNext w:val="0"/>
        <w:keepLines w:val="0"/>
        <w:widowControl w:val="1"/>
      </w:pPr>
      <w:bookmarkStart w:id="105"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4">
        <w:r>
          <w:rPr>
            <w:rStyle w:val="Hyperlink"/>
          </w:rPr>
          <w:t xml:space="preserve">arxiv.org/abs/2501.12789</w:t>
        </w:r>
      </w:hyperlink>
      <w:bookmarkEnd w:id="105"/>
    </w:p>
    <w:p>
      <w:pPr>
        <w:pStyle w:val="ReferenceEntry"/>
        <w:numPr>
          <w:ilvl w:val="0"/>
          <w:numId w:val="1002"/>
        </w:numPr>
        <w:jc w:val="left"/>
        <w:keepNext w:val="0"/>
        <w:keepLines w:val="0"/>
        <w:widowControl w:val="1"/>
      </w:pPr>
      <w:bookmarkStart w:id="107"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6">
        <w:r>
          <w:rPr>
            <w:rStyle w:val="Hyperlink"/>
          </w:rPr>
          <w:t xml:space="preserve">arxiv.org/abs/2502.17521</w:t>
        </w:r>
      </w:hyperlink>
      <w:bookmarkEnd w:id="107"/>
    </w:p>
    <w:p>
      <w:pPr>
        <w:pStyle w:val="ReferenceEntry"/>
        <w:numPr>
          <w:ilvl w:val="0"/>
          <w:numId w:val="1002"/>
        </w:numPr>
        <w:jc w:val="left"/>
        <w:keepNext w:val="0"/>
        <w:keepLines w:val="0"/>
        <w:widowControl w:val="1"/>
      </w:pPr>
      <w:bookmarkStart w:id="109"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8">
        <w:r>
          <w:rPr>
            <w:rStyle w:val="Hyperlink"/>
          </w:rPr>
          <w:t xml:space="preserve">doi.org/10.2307/2346806</w:t>
        </w:r>
      </w:hyperlink>
      <w:bookmarkEnd w:id="109"/>
    </w:p>
    <w:bookmarkEnd w:id="110"/>
    <w:bookmarkStart w:id="111"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1"/>
    <w:bookmarkStart w:id="115"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736336" cy="4998720"/>
            <wp:effectExtent b="0" l="0" r="0" t="0"/>
            <wp:docPr descr="Heatmap of pairwise semantic similarity between auto-generated rubric criteria" title="" id="113" name="Picture"/>
            <a:graphic>
              <a:graphicData uri="http://schemas.openxmlformats.org/drawingml/2006/picture">
                <pic:pic>
                  <pic:nvPicPr>
                    <pic:cNvPr descr="figures/f5_rubric_heatmap.png" id="114" name="Picture"/>
                    <pic:cNvPicPr>
                      <a:picLocks noChangeArrowheads="1" noChangeAspect="1"/>
                    </pic:cNvPicPr>
                  </pic:nvPicPr>
                  <pic:blipFill>
                    <a:blip r:embed="rId112"/>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15"/>
    <w:bookmarkStart w:id="119" w:name="appC"/>
    <w:p>
      <w:pPr>
        <w:pStyle w:val="Heading2"/>
        <w:keepNext/>
        <w:keepLines/>
        <w:widowControl w:val="1"/>
      </w:pPr>
      <w:r>
        <w:t xml:space="preserve">Appendix C. Evaluation throughput</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632960" cy="2987040"/>
            <wp:effectExtent b="0" l="0" r="0" t="0"/>
            <wp:docPr descr="Evaluations per dollar: CoEval versus human annotation" title="" id="117" name="Picture"/>
            <a:graphic>
              <a:graphicData uri="http://schemas.openxmlformats.org/drawingml/2006/picture">
                <pic:pic>
                  <pic:nvPicPr>
                    <pic:cNvPr descr="figures/f6_cost.png" id="118" name="Picture"/>
                    <pic:cNvPicPr>
                      <a:picLocks noChangeArrowheads="1" noChangeAspect="1"/>
                    </pic:cNvPicPr>
                  </pic:nvPicPr>
                  <pic:blipFill>
                    <a:blip r:embed="rId116"/>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19"/>
    <w:bookmarkStart w:id="120"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pStyle w:val="BodyText"/>
        <w:jc w:val="both"/>
        <w:keepNext w:val="0"/>
        <w:keepLines w:val="0"/>
        <w:widowControl w:val="1"/>
      </w:pPr>
      <w:r>
        <w:rPr>
          <w:b/>
          <w:bCs/>
        </w:rPr>
        <w:t xml:space="preserve">Table D1.</w:t>
      </w:r>
      <w:r>
        <w:t xml:space="preserve"> </w:t>
      </w:r>
      <w:r>
        <w:t xml:space="preserve">From a one-line description to a scored benchmark, for three domains with no</w:t>
      </w:r>
      <w:r>
        <w:t xml:space="preserve"> </w:t>
      </w:r>
      <w:r>
        <w:t xml:space="preserve">public labeled data. The attribute strata and rubric criteria are auto-generated by the teacher; each domain yields</w:t>
      </w:r>
      <w:r>
        <w:t xml:space="preserve"> </w:t>
      </w:r>
      <m:oMath>
        <m:r>
          <m:t>40</m:t>
        </m:r>
      </m:oMath>
      <w:r>
        <w:t xml:space="preserve"> </w:t>
      </w:r>
      <w:r>
        <w:t xml:space="preserve">stratified, contamination-free items, scored by the cross-family panel.</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Drug–drug interaction reasoning</w:t>
            </w:r>
            <w:r>
              <w:rPr>
                <w:rFonts w:ascii="Times New Roman" w:hAnsi="Times New Roman"/>
                <w:sz w:val="20"/>
              </w:rPr>
              <w:br/>
            </w:r>
            <w:r>
              <w:rPr>
                <w:rFonts w:ascii="Times New Roman" w:hAnsi="Times New Roman"/>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severity {contraindicated, major, moderate, minor}; mechanism {pharmacokinetic, pharmacodynamic};</w:t>
            </w:r>
            <w:r>
              <w:rPr>
                <w:rFonts w:ascii="Times New Roman" w:hAnsi="Times New Roman"/>
                <w:sz w:val="20"/>
              </w:rPr>
              <w:t xml:space="preserve"> </w:t>
            </w:r>
            <w:r>
              <w:rPr>
                <w:rFonts w:ascii="Times New Roman" w:hAnsi="Times New Roman"/>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Clinical reasoning</w:t>
            </w:r>
            <w:r>
              <w:rPr>
                <w:rFonts w:ascii="Times New Roman" w:hAnsi="Times New Roman"/>
                <w:sz w:val="20"/>
              </w:rPr>
              <w:br/>
            </w:r>
            <w:r>
              <w:rPr>
                <w:rFonts w:ascii="Times New Roman" w:hAnsi="Times New Roman"/>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Legal analysis</w:t>
            </w:r>
            <w:r>
              <w:rPr>
                <w:rFonts w:ascii="Times New Roman" w:hAnsi="Times New Roman"/>
                <w:sz w:val="20"/>
              </w:rPr>
              <w:br/>
            </w:r>
            <w:r>
              <w:rPr>
                <w:rFonts w:ascii="Times New Roman" w:hAnsi="Times New Roman"/>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legal_accuracy, reasoning_quality, completeness, clarity</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0"/>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ind w:firstLine="0"/>
      <w:jc w:val="center"/>
    </w:pPr>
    <w:rPr>
      <w:rFonts w:ascii="Times New Roman" w:hAnsi="Times New Roman"/>
      <w:b/>
      <w:i w:val="0"/>
      <w:sz w:val="20"/>
    </w:rPr>
  </w:style>
  <w:style w:customStyle="1" w:styleId="Keywords" w:type="paragraph">
    <w:name w:val="Keywords"/>
    <w:basedOn w:val="BodyText"/>
    <w:pPr>
      <w:keepNext w:val="0"/>
      <w:spacing w:after="80" w:before="0"/>
      <w:ind w:firstLin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12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12" Type="http://schemas.openxmlformats.org/officeDocument/2006/relationships/image" Target="media/rId112.png"/><Relationship Id="rId116" Type="http://schemas.openxmlformats.org/officeDocument/2006/relationships/image" Target="media/rId116.png"/><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2026-06-03T05:04:08Z</dcterms:created>
  <dcterms:modified xsi:type="dcterms:W3CDTF">2026-06-03T05:04:08Z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