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tbl>
      <w:tblPr>
        <w:tblW w:type="pct" w:w="5000"/>
        <w:tblLook w:firstColumn="1" w:firstRow="1" w:lastColumn="0" w:lastRow="0" w:noHBand="0" w:noVBand="1" w:val="04A0"/>
        <w:jc w:val="center"/>
        <w:tblBorders>
          <w:top w:val="nil"/>
          <w:left w:val="nil"/>
          <w:bottom w:val="nil"/>
          <w:right w:val="nil"/>
          <w:insideH w:val="nil"/>
          <w:insideV w:val="nil"/>
        </w:tblBorders>
        <w:tblLayout w:type="autofit"/>
      </w:tblPr>
      <w:tblGrid>
        <w:gridCol w:w="4680"/>
        <w:gridCol w:w="4680"/>
      </w:tblGrid>
      <w:tr>
        <w:tc>
          <w:tcPr>
            <w:tcW w:type="dxa" w:w="4680"/>
            <w:tcBorders>
              <w:left w:val="nil"/>
              <w:right w:val="nil"/>
              <w:top w:val="nil"/>
              <w:bottom w:val="nil"/>
            </w:tcBorders>
          </w:tcPr>
          <w:p>
            <w:pPr>
              <w:spacing w:before="0" w:after="40" w:line="240" w:lineRule="auto"/>
              <w:jc w:val="center"/>
            </w:pPr>
            <w:r/>
            <w:r>
              <w:rPr>
                <w:rFonts w:ascii="Georgia" w:hAnsi="Georgia"/>
                <w:b/>
                <w:i w:val="0"/>
                <w:sz w:val="24"/>
              </w:rPr>
              <w:t>Alexander Apartsin</w:t>
            </w:r>
          </w:p>
        </w:tc>
        <w:tc>
          <w:tcPr>
            <w:tcW w:type="dxa" w:w="4680"/>
            <w:tcBorders>
              <w:left w:val="nil"/>
              <w:right w:val="nil"/>
              <w:top w:val="nil"/>
              <w:bottom w:val="nil"/>
            </w:tcBorders>
          </w:tcPr>
          <w:p>
            <w:pPr>
              <w:spacing w:before="0" w:after="40" w:line="240" w:lineRule="auto"/>
              <w:jc w:val="center"/>
            </w:pPr>
            <w:r/>
            <w:r>
              <w:rPr>
                <w:rFonts w:ascii="Georgia" w:hAnsi="Georgia"/>
                <w:b/>
                <w:i w:val="0"/>
                <w:sz w:val="24"/>
              </w:rPr>
              <w:t>Yehudit Aperstein</w:t>
            </w:r>
          </w:p>
        </w:tc>
      </w:tr>
      <w:tr>
        <w:tc>
          <w:tcPr>
            <w:tcW w:type="dxa" w:w="4680"/>
            <w:tcBorders>
              <w:left w:val="nil"/>
              <w:right w:val="nil"/>
              <w:top w:val="nil"/>
              <w:bottom w:val="nil"/>
            </w:tcBorders>
          </w:tcPr>
          <w:p>
            <w:pPr>
              <w:spacing w:before="0" w:after="120" w:line="240" w:lineRule="auto"/>
              <w:jc w:val="center"/>
            </w:pPr>
            <w:r/>
            <w:r>
              <w:rPr>
                <w:rFonts w:ascii="Georgia" w:hAnsi="Georgia"/>
                <w:b w:val="0"/>
                <w:i/>
                <w:sz w:val="20"/>
              </w:rPr>
              <w:t>Holon Institute of Technology, Israel</w:t>
            </w:r>
          </w:p>
        </w:tc>
        <w:tc>
          <w:tcPr>
            <w:tcW w:type="dxa" w:w="4680"/>
            <w:tcBorders>
              <w:left w:val="nil"/>
              <w:right w:val="nil"/>
              <w:top w:val="nil"/>
              <w:bottom w:val="nil"/>
            </w:tcBorders>
          </w:tcPr>
          <w:p>
            <w:pPr>
              <w:spacing w:before="0" w:after="120" w:line="240" w:lineRule="auto"/>
              <w:jc w:val="center"/>
            </w:pPr>
            <w:r/>
            <w:r>
              <w:rPr>
                <w:rFonts w:ascii="Georgia" w:hAnsi="Georgia"/>
                <w:b w:val="0"/>
                <w:i/>
                <w:sz w:val="20"/>
              </w:rPr>
              <w:t>Afeka Tel Aviv Academic College of Engineering, Israel</w:t>
            </w:r>
          </w:p>
        </w:tc>
      </w:tr>
    </w:tbl>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Choosing or ranking language models for a specific application is hardest when</w:t>
      </w:r>
      <w:r>
        <w:t xml:space="preserve"> </w:t>
      </w:r>
      <w:r>
        <w:rPr>
          <w:i/>
          <w:iCs/>
        </w:rPr>
        <w:t xml:space="preserve">no task-specific labeled data</w:t>
      </w:r>
      <w:r>
        <w:t xml:space="preserve"> </w:t>
      </w:r>
      <w:r>
        <w:t xml:space="preserve">exists and</w:t>
      </w:r>
      <w:r>
        <w:t xml:space="preserve"> </w:t>
      </w:r>
      <w:r>
        <w:rPr>
          <w:i/>
          <w:iCs/>
        </w:rPr>
        <w:t xml:space="preserve">standard public benchmarks cannot be trusted</w:t>
      </w:r>
      <w:r>
        <w:t xml:space="preserve">, their items having likely leaked into pretraining so</w:t>
      </w:r>
      <w:r>
        <w:t xml:space="preserve"> </w:t>
      </w:r>
      <w:r>
        <w:t xml:space="preserve">scores reflect memorization rather than fitness. We present</w:t>
      </w:r>
      <w:r>
        <w:t xml:space="preserve"> </w:t>
      </w:r>
      <w:r>
        <w:rPr>
          <w:b/>
          <w:bCs/>
        </w:rPr>
        <w:t xml:space="preserve">CoEval</w:t>
      </w:r>
      <w:r>
        <w:t xml:space="preserve">, an open-source, reusable framework</w:t>
      </w:r>
      <w:r>
        <w:t xml:space="preserve"> </w:t>
      </w:r>
      <w:r>
        <w:t xml:space="preserve">that closes this gap end to end: from only a description of a task or domain, teacher models synthesize a fresh,</w:t>
      </w:r>
      <w:r>
        <w:t xml:space="preserve"> </w:t>
      </w:r>
      <w:r>
        <w:t xml:space="preserve">attribute-controlled benchmark with</w:t>
      </w:r>
      <w:r>
        <w:t xml:space="preserve"> </w:t>
      </w:r>
      <w:r>
        <w:rPr>
          <w:i/>
          <w:iCs/>
        </w:rPr>
        <w:t xml:space="preserve">no human labels</w:t>
      </w:r>
      <w:r>
        <w:t xml:space="preserve">, contamination-free because items are generated anew on</w:t>
      </w:r>
      <w:r>
        <w:t xml:space="preserve"> </w:t>
      </w:r>
      <w:r>
        <w:t xml:space="preserve">each run, and a cross-family judge ensemble ranks candidate models with no human raters. Validated where ground truth</w:t>
      </w:r>
      <w:r>
        <w:t xml:space="preserve"> </w:t>
      </w:r>
      <w:r>
        <w:t xml:space="preserve">exists, CoEval recovers the true model ranking and tracks ground-truth correctness at</w:t>
      </w:r>
      <w:r>
        <w:t xml:space="preserve"> </w:t>
      </w:r>
      <m:oMath>
        <m:r>
          <m:t>ρ</m:t>
        </m:r>
        <m:r>
          <m:rPr>
            <m:sty m:val="p"/>
          </m:rPr>
          <m:t>=</m:t>
        </m:r>
        <m:r>
          <m:t>0.86</m:t>
        </m:r>
      </m:oMath>
      <w:r>
        <w:t xml:space="preserve">. The label-free</w:t>
      </w:r>
      <w:r>
        <w:t xml:space="preserve"> </w:t>
      </w:r>
      <w:r>
        <w:t xml:space="preserve">judging needs no human calibration because judge-panel</w:t>
      </w:r>
      <w:r>
        <w:t xml:space="preserve"> </w:t>
      </w:r>
      <w:r>
        <w:rPr>
          <w:i/>
          <w:iCs/>
        </w:rPr>
        <w:t xml:space="preserve">composition</w:t>
      </w:r>
      <w:r>
        <w:t xml:space="preserve"> </w:t>
      </w:r>
      <w:r>
        <w:t xml:space="preserve">(vendor diversity), not</w:t>
      </w:r>
      <w:r>
        <w:t xml:space="preserve"> </w:t>
      </w:r>
      <w:r>
        <w:rPr>
          <w:i/>
          <w:iCs/>
        </w:rPr>
        <w:t xml:space="preserve">size</w:t>
      </w:r>
      <w:r>
        <w:t xml:space="preserve">,</w:t>
      </w:r>
      <w:r>
        <w:t xml:space="preserve"> </w:t>
      </w:r>
      <w:r>
        <w:t xml:space="preserve">drives reliability: a small, well-chosen cross-family panel is most reliable, while a single judge can be</w:t>
      </w:r>
      <w:r>
        <w:t xml:space="preserve"> </w:t>
      </w:r>
      <w:r>
        <w:t xml:space="preserve">anti-correlated with ground truth (judge-choice regret</w:t>
      </w:r>
      <w:r>
        <w:t xml:space="preserve"> </w:t>
      </w:r>
      <m:oMath>
        <m:r>
          <m:t>0.35</m:t>
        </m:r>
      </m:oMath>
      <w:r>
        <w:t xml:space="preserve">) and the ensemble never is. Generated items show</w:t>
      </w:r>
      <w:r>
        <w:t xml:space="preserve"> </w:t>
      </w:r>
      <m:oMath>
        <m:r>
          <m:t>0.0000</m:t>
        </m:r>
      </m:oMath>
      <w:r>
        <w:t xml:space="preserve"> </w:t>
      </w:r>
      <w:r>
        <w:t xml:space="preserve">verbatim 13-gram overlap with five major public benchmarks; the panel cancels verbosity bias and precludes</w:t>
      </w:r>
      <w:r>
        <w:t xml:space="preserve"> </w:t>
      </w:r>
      <w:r>
        <w:t xml:space="preserve">same-family self-preference. A four-task study produced 7,978 evaluations for USD 5.89. The same declarative pipeline</w:t>
      </w:r>
      <w:r>
        <w:t xml:space="preserve"> </w:t>
      </w:r>
      <w:r>
        <w:t xml:space="preserve">applies to any domain and is cheap enough to re-run on every model release: a label-free, contamination-free</w:t>
      </w:r>
      <w:r>
        <w:t xml:space="preserve"> </w:t>
      </w:r>
      <w:r>
        <w:t xml:space="preserve">leaderboard any team can regenerate for its own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choosing a language model for a specific application (summarizing clinical notes, answering</w:t>
      </w:r>
      <w:r>
        <w:t xml:space="preserve"> </w:t>
      </w:r>
      <w:r>
        <w:t xml:space="preserve">questions over an internal knowledge base, triaging support tickets for a particular product) faces a</w:t>
      </w:r>
      <w:r>
        <w:t xml:space="preserve"> </w:t>
      </w:r>
      <w:r>
        <w:t xml:space="preserve">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that:</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In a four-task medium-scale study it produced 7,978 valid evaluations for</w:t>
      </w:r>
      <w:r>
        <w:t xml:space="preserve"> </w:t>
      </w:r>
      <w:r>
        <w:t xml:space="preserve">USD 5.89 end-to-end.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spacing w:before="280" w:after="60" w:line="240" w:lineRule="auto"/>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5.1–5.2 benchmark-grounded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200 memorized / 100 fresh</w:t>
            </w:r>
          </w:p>
        </w:tc>
      </w:tr>
    </w:tbl>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5.5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spacing w:before="280" w:after="60" w:line="240" w:lineRule="auto"/>
        <w:keepNext/>
        <w:keepLines/>
        <w:widowControl w:val="1"/>
      </w:pPr>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on par with a 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matching this strong single-judge baseline without depending on any one model. A single judge</w:t>
      </w:r>
      <w:r>
        <w:t xml:space="preserve"> </w:t>
      </w:r>
      <w:r>
        <w:t xml:space="preserve">is a gamble one cannot hedge in advance: on this task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spacing w:before="280" w:after="60" w:line="240" w:lineRule="auto"/>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the panel-composition problem, which would otherwise</w:t>
      </w:r>
      <w:r>
        <w:t xml:space="preserve"> </w:t>
      </w:r>
      <w:r>
        <w:t xml:space="preserve">degrade a naive 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w:t>
      </w:r>
    </w:p>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spacing w:before="280" w:after="60" w:line="240" w:lineRule="auto"/>
        <w:keepNext/>
        <w:keepLines/>
        <w:widowControl w:val="1"/>
      </w:pPr>
      <w:r>
        <w:rPr>
          <w:b/>
          <w:i/>
        </w:rPr>
        <w:t>Table 4.</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4.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collapses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5).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spacing w:before="280" w:after="60" w:line="240" w:lineRule="auto"/>
        <w:keepNext/>
        <w:keepLines/>
        <w:widowControl w:val="1"/>
      </w:pPr>
      <w:r>
        <w:rPr>
          <w:b/>
          <w:i/>
        </w:rPr>
        <w:t>Table 5.</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5.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tcPr>
          <w:p>
            <w:pPr>
              <w:pStyle w:val="Compact"/>
              <w:spacing w:before="0" w:after="20" w:line="240" w:lineRule="auto"/>
              <w:jc w:val="center"/>
              <w:keepNext w:val="0"/>
              <w:keepLines/>
              <w:widowControl w:val="1"/>
            </w:pP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6).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spacing w:before="280" w:after="60" w:line="240" w:lineRule="auto"/>
        <w:keepNext/>
        <w:keepLines/>
        <w:widowControl w:val="1"/>
      </w:pPr>
      <w:r>
        <w:rPr>
          <w:b/>
          <w:i/>
        </w:rPr>
        <w:t>Table 6.</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6.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3</w:t>
            </w:r>
          </w:p>
        </w:tc>
      </w:tr>
    </w:tbl>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tool for ranking language models on custom tasks and domains when neither labeled data nor a trustworthy benchmark is available: from a task description alone it generates a fresh, contamination-resistant benchmark and ranks candidate models with a cross-family judge ensemble,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all at USD 5.89 for 7,978 evaluations.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Because the same declarative pipeline runs</w:t>
      </w:r>
      <w:r>
        <w:t xml:space="preserve"> </w:t>
      </w:r>
      <w:r>
        <w:t xml:space="preserve">unchanged across models and domains and is cheap enough to repeat on every model release, CoEval is a reusable</w:t>
      </w:r>
      <w:r>
        <w:t xml:space="preserve"> </w:t>
      </w:r>
      <w:r>
        <w:t xml:space="preserve">instrument a team points at its own application when neither labeled data nor a trustworthy benchmark exists, rather</w:t>
      </w:r>
      <w:r>
        <w:t xml:space="preserve"> </w:t>
      </w:r>
      <w:r>
        <w:t xml:space="preserve">than a single static study. CoEval is open-source, declarative,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ind w:left="360" w:hanging="259"/>
        <w:jc w:val="left"/>
        <w:keepNext w:val="0"/>
        <w:keepLines w:val="0"/>
        <w:widowControl w:val="1"/>
      </w:pP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ind w:left="360" w:hanging="259"/>
        <w:jc w:val="left"/>
        <w:keepNext w:val="0"/>
        <w:keepLines w:val="0"/>
        <w:widowControl w:val="1"/>
      </w:pP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ind w:left="360" w:hanging="259"/>
        <w:jc w:val="left"/>
        <w:keepNext w:val="0"/>
        <w:keepLines w:val="0"/>
        <w:widowControl w:val="1"/>
      </w:pP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ind w:left="360" w:hanging="259"/>
        <w:jc w:val="left"/>
        <w:keepNext w:val="0"/>
        <w:keepLines w:val="0"/>
        <w:widowControl w:val="1"/>
      </w:pP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ind w:left="360" w:hanging="259"/>
        <w:jc w:val="left"/>
        <w:keepNext w:val="0"/>
        <w:keepLines w:val="0"/>
        <w:widowControl w:val="1"/>
      </w:pP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ind w:left="360" w:hanging="259"/>
        <w:jc w:val="left"/>
        <w:keepNext w:val="0"/>
        <w:keepLines w:val="0"/>
        <w:widowControl w:val="1"/>
      </w:pP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ind w:left="360" w:hanging="259"/>
        <w:jc w:val="left"/>
        <w:keepNext w:val="0"/>
        <w:keepLines w:val="0"/>
        <w:widowControl w:val="1"/>
      </w:pP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ind w:left="360" w:hanging="259"/>
        <w:jc w:val="left"/>
        <w:keepNext w:val="0"/>
        <w:keepLines w:val="0"/>
        <w:widowControl w:val="1"/>
      </w:pP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ind w:left="360" w:hanging="259"/>
        <w:jc w:val="left"/>
        <w:keepNext w:val="0"/>
        <w:keepLines w:val="0"/>
        <w:widowControl w:val="1"/>
      </w:pP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ind w:left="360" w:hanging="259"/>
        <w:jc w:val="left"/>
        <w:keepNext w:val="0"/>
        <w:keepLines w:val="0"/>
        <w:widowControl w:val="1"/>
      </w:pP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ind w:left="360" w:hanging="259"/>
        <w:jc w:val="left"/>
        <w:keepNext w:val="0"/>
        <w:keepLines w:val="0"/>
        <w:widowControl w:val="1"/>
      </w:pP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ind w:left="360" w:hanging="259"/>
        <w:jc w:val="left"/>
        <w:keepNext w:val="0"/>
        <w:keepLines w:val="0"/>
        <w:widowControl w:val="1"/>
      </w:pP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ind w:left="360" w:hanging="259"/>
        <w:jc w:val="left"/>
        <w:keepNext w:val="0"/>
        <w:keepLines w:val="0"/>
        <w:widowControl w:val="1"/>
      </w:pP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ind w:left="360" w:hanging="259"/>
        <w:jc w:val="left"/>
        <w:keepNext w:val="0"/>
        <w:keepLines w:val="0"/>
        <w:widowControl w:val="1"/>
      </w:pP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ind w:left="360" w:hanging="259"/>
        <w:jc w:val="left"/>
        <w:keepNext w:val="0"/>
        <w:keepLines w:val="0"/>
        <w:widowControl w:val="1"/>
      </w:pP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ind w:left="360" w:hanging="259"/>
        <w:jc w:val="left"/>
        <w:keepNext w:val="0"/>
        <w:keepLines w:val="0"/>
        <w:widowControl w:val="1"/>
      </w:pP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ind w:left="360" w:hanging="259"/>
        <w:jc w:val="left"/>
        <w:keepNext w:val="0"/>
        <w:keepLines w:val="0"/>
        <w:widowControl w:val="1"/>
      </w:pP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ind w:left="360" w:hanging="259"/>
        <w:jc w:val="left"/>
        <w:keepNext w:val="0"/>
        <w:keepLines w:val="0"/>
        <w:widowControl w:val="1"/>
      </w:pP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ind w:left="360" w:hanging="259"/>
        <w:jc w:val="left"/>
        <w:keepNext w:val="0"/>
        <w:keepLines w:val="0"/>
        <w:widowControl w:val="1"/>
      </w:pP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ind w:left="360" w:hanging="259"/>
        <w:jc w:val="left"/>
        <w:keepNext w:val="0"/>
        <w:keepLines w:val="0"/>
        <w:widowControl w:val="1"/>
      </w:pP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ind w:left="360" w:hanging="259"/>
        <w:jc w:val="left"/>
        <w:keepNext w:val="0"/>
        <w:keepLines w:val="0"/>
        <w:widowControl w:val="1"/>
      </w:pP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ind w:left="360" w:hanging="259"/>
        <w:jc w:val="left"/>
        <w:keepNext w:val="0"/>
        <w:keepLines w:val="0"/>
        <w:widowControl w:val="1"/>
      </w:pP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ind w:left="360" w:hanging="259"/>
        <w:jc w:val="left"/>
        <w:keepNext w:val="0"/>
        <w:keepLines w:val="0"/>
        <w:widowControl w:val="1"/>
      </w:pP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ind w:left="360" w:hanging="259"/>
        <w:jc w:val="left"/>
        <w:keepNext w:val="0"/>
        <w:keepLines w:val="0"/>
        <w:widowControl w:val="1"/>
      </w:pP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ind w:left="360" w:hanging="259"/>
        <w:jc w:val="left"/>
        <w:keepNext w:val="0"/>
        <w:keepLines w:val="0"/>
        <w:widowControl w:val="1"/>
      </w:pP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ind w:left="360" w:hanging="259"/>
        <w:jc w:val="left"/>
        <w:keepNext w:val="0"/>
        <w:keepLines w:val="0"/>
        <w:widowControl w:val="1"/>
      </w:pP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ind w:left="360" w:hanging="259"/>
        <w:jc w:val="left"/>
        <w:keepNext w:val="0"/>
        <w:keepLines w:val="0"/>
        <w:widowControl w:val="1"/>
      </w:pP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ind w:left="360" w:hanging="259"/>
        <w:jc w:val="left"/>
        <w:keepNext w:val="0"/>
        <w:keepLines w:val="0"/>
        <w:widowControl w:val="1"/>
      </w:pP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ind w:left="360" w:hanging="259"/>
        <w:jc w:val="left"/>
        <w:keepNext w:val="0"/>
        <w:keepLines w:val="0"/>
        <w:widowControl w:val="1"/>
      </w:pP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ind w:left="360" w:hanging="259"/>
        <w:jc w:val="left"/>
        <w:keepNext w:val="0"/>
        <w:keepLines w:val="0"/>
        <w:widowControl w:val="1"/>
      </w:pP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ind w:left="360" w:hanging="259"/>
        <w:jc w:val="left"/>
        <w:keepNext w:val="0"/>
        <w:keepLines w:val="0"/>
        <w:widowControl w:val="1"/>
      </w:pP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ind w:left="360" w:hanging="259"/>
        <w:jc w:val="left"/>
        <w:keepNext w:val="0"/>
        <w:keepLines w:val="0"/>
        <w:widowControl w:val="1"/>
      </w:pP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ind w:left="360" w:hanging="259"/>
        <w:jc w:val="left"/>
        <w:keepNext w:val="0"/>
        <w:keepLines w:val="0"/>
        <w:widowControl w:val="1"/>
      </w:pP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spacing w:before="80" w:after="120" w:line="240" w:lineRule="auto"/>
        <w:keepNext w:val="0"/>
        <w:keepLines/>
        <w:widowControl w:val="1"/>
      </w:pPr>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5).</w:t>
      </w:r>
    </w:p>
    <w:p>
      <w:pPr>
        <w:spacing w:before="280" w:after="60" w:line="240" w:lineRule="auto"/>
        <w:keepNext/>
        <w:keepLines/>
        <w:widowControl w:val="1"/>
      </w:pPr>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5.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2026-06-03T08:14:28Z</dcterms:created>
  <dcterms:modified xsi:type="dcterms:W3CDTF">2026-06-03T08:14:28Z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