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is rotated through teacher and judge roles to generate a fresh, contamination-free benchmark and score</w:t>
      </w:r>
      <w:r>
        <w:t xml:space="preserve"> </w:t>
      </w:r>
      <w:r>
        <w:t xml:space="preserve">the candidate models, jointly weighting questions by their discriminative power and judges by their consensus with the</w:t>
      </w:r>
      <w:r>
        <w:t xml:space="preserve"> </w:t>
      </w:r>
      <w:r>
        <w:t xml:space="preserve">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is rotated through teacher and judge roles to generate a fresh, contamination-resistant benchmark and rank the candidate models, jointly weighting questions by their discriminative power and judges by their consensus,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cheap enough to repeat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2026-06-03T10:15:42Z</dcterms:created>
  <dcterms:modified xsi:type="dcterms:W3CDTF">2026-06-03T10:15:42Z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