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hyperlink r:id="rId9">
        <w:r>
          <w:rPr>
            <w:rStyle w:val="Hyperlink"/>
          </w:rPr>
          <w:t xml:space="preserve">↓ Word (.docx)</w:t>
        </w:r>
      </w:hyperlink>
    </w:p>
    <w:bookmarkStart w:id="10" w:name="Xcb93c1972691cb1b713aea11849a21362af4bd5"/>
    <w:p>
      <w:pPr>
        <w:pStyle w:val="Title"/>
        <w:spacing w:before="0" w:after="160"/>
        <w:jc w:val="center"/>
        <w:keepNext/>
        <w:keepLines/>
        <w:widowControl w:val="1"/>
      </w:pPr>
      <w:r>
        <w:t xml:space="preserve">CoEval: Composition Over Size — Cross-Family Judge Ensembles</w:t>
      </w:r>
      <w:r>
        <w:br/>
      </w:r>
      <w:r>
        <w:t xml:space="preserve">for Self-Generating, Contamination-Resistant LLM Evaluation</w:t>
      </w:r>
    </w:p>
    <w:p>
      <w:pPr>
        <w:pStyle w:val="Subtitle"/>
        <w:spacing w:before="0" w:after="40"/>
        <w:jc w:val="center"/>
        <w:keepNext/>
        <w:keepLines/>
        <w:widowControl w:val="1"/>
      </w:pPr>
      <w:r>
        <w:t xml:space="preserve">Alexander Apartsin</w:t>
      </w:r>
    </w:p>
    <w:p>
      <w:pPr>
        <w:pStyle w:val="Subtitle"/>
        <w:spacing w:before="0" w:after="160"/>
        <w:jc w:val="center"/>
        <w:keepNext w:val="0"/>
        <w:keepLines/>
        <w:widowControl w:val="1"/>
      </w:pPr>
      <w:r>
        <w:rPr>
          <w:sz w:val="20"/>
        </w:rPr>
        <w:t xml:space="preserve">Holon Institute of Technology, Israel</w:t>
      </w:r>
    </w:p>
    <w:p>
      <w:pPr>
        <w:pStyle w:val="BodyText"/>
        <w:jc w:val="both"/>
        <w:keepNext w:val="0"/>
        <w:keepLines w:val="0"/>
        <w:widowControl w:val="1"/>
      </w:pPr>
      <w:r>
        <w:t xml:space="preserve">Yehudit Aperstein</w:t>
      </w:r>
    </w:p>
    <w:p>
      <w:pPr>
        <w:pStyle w:val="BodyText"/>
        <w:jc w:val="both"/>
        <w:keepNext w:val="0"/>
        <w:keepLines w:val="0"/>
        <w:widowControl w:val="1"/>
      </w:pPr>
      <w:r>
        <w:t xml:space="preserve">Afeka Tel Aviv Academic College of Engineering, Israel</w:t>
      </w:r>
    </w:p>
    <w:bookmarkEnd w:id="10"/>
    <w:bookmarkStart w:id="11" w:name="abstract"/>
    <w:p>
      <w:pPr>
        <w:pStyle w:val="AbstractLabel"/>
        <w:jc w:val="center"/>
        <w:keepNext/>
        <w:keepLines/>
        <w:widowControl w:val="1"/>
      </w:pPr>
      <w:r>
        <w:t xml:space="preserve">Abstract</w:t>
      </w:r>
    </w:p>
    <w:p>
      <w:pPr>
        <w:pStyle w:val="FirstParagraph"/>
        <w:jc w:val="both"/>
        <w:keepNext w:val="0"/>
        <w:keepLines w:val="0"/>
        <w:widowControl w:val="1"/>
      </w:pPr>
      <w:r>
        <w:t xml:space="preserve">The standard remedy for a biased LLM judge is to add more judges. We show this intuition is incomplete: judge-panel</w:t>
      </w:r>
      <w:r>
        <w:t xml:space="preserve"> </w:t>
      </w:r>
      <w:r>
        <w:rPr>
          <w:i/>
          <w:iCs/>
        </w:rPr>
        <w:t xml:space="preserve">composition</w:t>
      </w:r>
      <w:r>
        <w:t xml:space="preserve">—diversity across vendor families—rather than panel</w:t>
      </w:r>
      <w:r>
        <w:t xml:space="preserve"> </w:t>
      </w:r>
      <w:r>
        <w:rPr>
          <w:i/>
          <w:iCs/>
        </w:rPr>
        <w:t xml:space="preserve">size</w:t>
      </w:r>
      <w:r>
        <w:t xml:space="preserve"> </w:t>
      </w:r>
      <w:r>
        <w:t xml:space="preserve">determines</w:t>
      </w:r>
      <w:r>
        <w:t xml:space="preserve"> </w:t>
      </w:r>
      <w:r>
        <w:t xml:space="preserve">reliability, and indiscriminately enlarging a panel can</w:t>
      </w:r>
      <w:r>
        <w:t xml:space="preserve"> </w:t>
      </w:r>
      <w:r>
        <w:rPr>
          <w:i/>
          <w:iCs/>
        </w:rPr>
        <w:t xml:space="preserve">reduce</w:t>
      </w:r>
      <w:r>
        <w:t xml:space="preserve"> </w:t>
      </w:r>
      <w:r>
        <w:t xml:space="preserve">it (inter-rater reliability peaks at two</w:t>
      </w:r>
      <w:r>
        <w:t xml:space="preserve"> </w:t>
      </w:r>
      <w:r>
        <w:t xml:space="preserve">well-chosen judges and falls as low-agreement judges are added, exactly matching the Spearman–Brown relation).</w:t>
      </w:r>
      <w:r>
        <w:t xml:space="preserve"> </w:t>
      </w:r>
      <w:r>
        <w:t xml:space="preserve">We present</w:t>
      </w:r>
      <w:r>
        <w:t xml:space="preserve"> </w:t>
      </w:r>
      <w:r>
        <w:rPr>
          <w:b/>
          <w:bCs/>
        </w:rPr>
        <w:t xml:space="preserve">CoEval</w:t>
      </w:r>
      <w:r>
        <w:t xml:space="preserve">, an open-source framework that turns this insight into a practical, fully general</w:t>
      </w:r>
      <w:r>
        <w:t xml:space="preserve"> </w:t>
      </w:r>
      <w:r>
        <w:t xml:space="preserve">evaluator: any set of models—across sixteen provider interfaces (OpenAI, Anthropic, Google, open-weight, and</w:t>
      </w:r>
      <w:r>
        <w:t xml:space="preserve"> </w:t>
      </w:r>
      <w:r>
        <w:t xml:space="preserve">local)—can be ranked on a target task or domain from a single declarative configuration file, with no human</w:t>
      </w:r>
      <w:r>
        <w:t xml:space="preserve"> </w:t>
      </w:r>
      <w:r>
        <w:t xml:space="preserve">annotation, and we show CoEval recovers the ground-truth model ranking exactly across the task families we study. CoEval separates evaluation into three interchangeable roles —</w:t>
      </w:r>
      <w:r>
        <w:t xml:space="preserve"> </w:t>
      </w:r>
      <w:r>
        <w:rPr>
          <w:i/>
          <w:iCs/>
        </w:rPr>
        <w:t xml:space="preserve">teacher</w:t>
      </w:r>
      <w:r>
        <w:t xml:space="preserve">,</w:t>
      </w:r>
      <w:r>
        <w:t xml:space="preserve"> </w:t>
      </w:r>
      <w:r>
        <w:rPr>
          <w:i/>
          <w:iCs/>
        </w:rPr>
        <w:t xml:space="preserve">student</w:t>
      </w:r>
      <w:r>
        <w:t xml:space="preserve">,</w:t>
      </w:r>
      <w:r>
        <w:t xml:space="preserve"> </w:t>
      </w:r>
      <w:r>
        <w:t xml:space="preserve">and</w:t>
      </w:r>
      <w:r>
        <w:t xml:space="preserve"> </w:t>
      </w:r>
      <w:r>
        <w:rPr>
          <w:i/>
          <w:iCs/>
        </w:rPr>
        <w:t xml:space="preserve">judge</w:t>
      </w:r>
      <w:r>
        <w:t xml:space="preserve"> </w:t>
      </w:r>
      <w:r>
        <w:t xml:space="preserve">— using the teacher to synthesize attribute-stratified, freshly generated</w:t>
      </w:r>
      <w:r>
        <w:t xml:space="preserve"> </w:t>
      </w:r>
      <w:r>
        <w:rPr>
          <w:i/>
          <w:iCs/>
        </w:rPr>
        <w:t xml:space="preserve">domain-focused</w:t>
      </w:r>
      <w:r>
        <w:t xml:space="preserve"> </w:t>
      </w:r>
      <w:r>
        <w:t xml:space="preserve">benchmarks (we measure zero 13-gram overlap between generated items and five major public benchmarks, so items cannot</w:t>
      </w:r>
      <w:r>
        <w:t xml:space="preserve"> </w:t>
      </w:r>
      <w:r>
        <w:t xml:space="preserve">have leaked into a student's training), then scoring responses with a</w:t>
      </w:r>
      <w:r>
        <w:t xml:space="preserve"> </w:t>
      </w:r>
      <w:r>
        <w:rPr>
          <w:i/>
          <w:iCs/>
        </w:rPr>
        <w:t xml:space="preserve">cross-family judge ensemble</w:t>
      </w:r>
      <w:r>
        <w:t xml:space="preserve"> </w:t>
      </w:r>
      <w:r>
        <w:t xml:space="preserve">whose</w:t>
      </w:r>
      <w:r>
        <w:t xml:space="preserve"> </w:t>
      </w:r>
      <w:r>
        <w:t xml:space="preserve">vendor diversity cancels individual-judge biases. Across a four-task medium-scale</w:t>
      </w:r>
      <w:r>
        <w:t xml:space="preserve"> </w:t>
      </w:r>
      <w:r>
        <w:t xml:space="preserve">study, CoEval produced 7,978 valid evaluations at a total cost of USD 5.89 with no human annotation. We show that the</w:t>
      </w:r>
      <w:r>
        <w:t xml:space="preserve"> </w:t>
      </w:r>
      <w:r>
        <w:t xml:space="preserve">ensemble removes a verbosity bias that no single judge avoids (mean per-judge</w:t>
      </w:r>
      <w:r>
        <w:t xml:space="preserve"> </w:t>
      </w:r>
      <m:oMath>
        <m:r>
          <m:rPr>
            <m:sty m:val="p"/>
          </m:rPr>
          <m:t>|</m:t>
        </m:r>
        <m:r>
          <m:t>r</m:t>
        </m:r>
        <m:r>
          <m:rPr>
            <m:sty m:val="p"/>
          </m:rPr>
          <m:t>|</m:t>
        </m:r>
        <m:r>
          <m:rPr>
            <m:sty m:val="p"/>
          </m:rPr>
          <m:t>=</m:t>
        </m:r>
        <m:r>
          <m:t>0.153</m:t>
        </m:r>
      </m:oMath>
      <w:r>
        <w:t xml:space="preserve"> </w:t>
      </w:r>
      <w:r>
        <w:t xml:space="preserve">collapses to an ensemble</w:t>
      </w:r>
      <w:r>
        <w:t xml:space="preserve"> </w:t>
      </w:r>
      <m:oMath>
        <m:r>
          <m:t>r</m:t>
        </m:r>
        <m:r>
          <m:rPr>
            <m:sty m:val="p"/>
          </m:rPr>
          <m:t>=</m:t>
        </m:r>
        <m:r>
          <m:rPr>
            <m:sty m:val="p"/>
          </m:rPr>
          <m:t>+</m:t>
        </m:r>
        <m:r>
          <m:t>0.010</m:t>
        </m:r>
      </m:oMath>
      <w:r>
        <w:t xml:space="preserve"> </w:t>
      </w:r>
      <w:r>
        <w:t xml:space="preserve">with a bootstrap CI spanning zero, a 93% reduction) and structurally precludes same-family</w:t>
      </w:r>
      <w:r>
        <w:t xml:space="preserve"> </w:t>
      </w:r>
      <w:r>
        <w:t xml:space="preserve">self-preference, while producing task-specialized rubrics that share a universal quality core. On objective</w:t>
      </w:r>
      <w:r>
        <w:t xml:space="preserve"> </w:t>
      </w:r>
      <w:r>
        <w:t xml:space="preserve">exact-match QA the frontier cross-family ensemble tracks ground-truth correctness at</w:t>
      </w:r>
      <w:r>
        <w:t xml:space="preserve"> </w:t>
      </w:r>
      <m:oMath>
        <m:r>
          <m:t>ρ</m:t>
        </m:r>
        <m:r>
          <m:rPr>
            <m:sty m:val="p"/>
          </m:rPr>
          <m:t>=</m:t>
        </m:r>
        <m:r>
          <m:t>0.86</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 with vendor-independent agreement. Our central finding is that for judge</w:t>
      </w:r>
      <w:r>
        <w:t xml:space="preserve"> </w:t>
      </w:r>
      <w:r>
        <w:t xml:space="preserve">ensembles,</w:t>
      </w:r>
      <w:r>
        <w:t xml:space="preserve"> </w:t>
      </w:r>
      <w:r>
        <w:rPr>
          <w:i/>
          <w:iCs/>
        </w:rPr>
        <w:t xml:space="preserve">composition</w:t>
      </w:r>
      <w:r>
        <w:t xml:space="preserve"> </w:t>
      </w:r>
      <w:r>
        <w:t xml:space="preserve">— cross-family vendor diversity, evidenced by a non-monotone reliability curve</w:t>
      </w:r>
      <w:r>
        <w:t xml:space="preserve"> </w:t>
      </w:r>
      <w:r>
        <w:t xml:space="preserve">in which adding low-agreement judges</w:t>
      </w:r>
      <w:r>
        <w:t xml:space="preserve"> </w:t>
      </w:r>
      <w:r>
        <w:rPr>
          <w:i/>
          <w:iCs/>
        </w:rPr>
        <w:t xml:space="preserve">reduces</w:t>
      </w:r>
      <w:r>
        <w:t xml:space="preserve"> </w:t>
      </w:r>
      <w:r>
        <w:t xml:space="preserve">inter-rater reliability — rather than panel size is the</w:t>
      </w:r>
      <w:r>
        <w:t xml:space="preserve"> </w:t>
      </w:r>
      <w:r>
        <w:t xml:space="preserve">decisive lever.</w:t>
      </w:r>
    </w:p>
    <w:bookmarkEnd w:id="11"/>
    <w:bookmarkStart w:id="12" w:name="introduction"/>
    <w:p>
      <w:pPr>
        <w:pStyle w:val="Heading2"/>
        <w:keepNext/>
        <w:keepLines/>
        <w:widowControl w:val="1"/>
      </w:pPr>
      <w:r>
        <w:t xml:space="preserve">1. Introduction</w:t>
      </w:r>
    </w:p>
    <w:p>
      <w:pPr>
        <w:pStyle w:val="FirstParagraph"/>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w:t>
      </w:r>
      <w:r>
        <w:t xml:space="preserve"> </w:t>
      </w:r>
      <w:hyperlink w:anchor="r12">
        <w:r>
          <w:rPr>
            <w:rStyle w:val="Hyperlink"/>
            <w:vertAlign w:val="superscript"/>
          </w:rPr>
          <w:t xml:space="preserve">[12]</w:t>
        </w:r>
      </w:hyperlink>
      <w:hyperlink w:anchor="r13">
        <w:r>
          <w:rPr>
            <w:rStyle w:val="Hyperlink"/>
            <w:vertAlign w:val="superscript"/>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w:t>
      </w:r>
      <w:r>
        <w:t xml:space="preserve"> </w:t>
      </w:r>
      <w:hyperlink w:anchor="r1">
        <w:r>
          <w:rPr>
            <w:rStyle w:val="Hyperlink"/>
            <w:vertAlign w:val="superscript"/>
          </w:rPr>
          <w:t xml:space="preserve">[1]</w:t>
        </w:r>
      </w:hyperlink>
      <w:hyperlink w:anchor="r2">
        <w:r>
          <w:rPr>
            <w:rStyle w:val="Hyperlink"/>
            <w:vertAlign w:val="superscript"/>
          </w:rPr>
          <w:t xml:space="preserve">[2]</w:t>
        </w:r>
      </w:hyperlink>
      <w:r>
        <w:t xml:space="preserve"> </w:t>
      </w:r>
      <w:r>
        <w:t xml:space="preserve">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hyperlink w:anchor="r8">
        <w:r>
          <w:rPr>
            <w:rStyle w:val="Hyperlink"/>
            <w:vertAlign w:val="superscript"/>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 the rigidity of static benchmarks and the bias of single judges —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that:</w:t>
      </w:r>
    </w:p>
    <w:p>
      <w:pPr>
        <w:pStyle w:val="Compact"/>
        <w:numPr>
          <w:ilvl w:val="0"/>
          <w:numId w:val="1001"/>
        </w:numPr>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w:t>
      </w:r>
    </w:p>
    <w:p>
      <w:pPr>
        <w:pStyle w:val="Compact"/>
        <w:numPr>
          <w:ilvl w:val="0"/>
          <w:numId w:val="1001"/>
        </w:numPr>
        <w:jc w:val="both"/>
        <w:keepNext w:val="0"/>
        <w:keepLines w:val="0"/>
        <w:widowControl w:val="1"/>
      </w:pPr>
      <w:r>
        <w:rPr>
          <w:b/>
          <w:bCs/>
        </w:rPr>
        <w:t xml:space="preserve">(2) Composition over size in cross-family judge ensembles.</w:t>
      </w:r>
      <w:r>
        <w:t xml:space="preserve"> </w:t>
      </w:r>
      <w:r>
        <w:t xml:space="preserve">Responses are scored by judges drawn</w:t>
      </w:r>
      <w:r>
        <w:t xml:space="preserve"> </w:t>
      </w:r>
      <w:r>
        <w:t xml:space="preserve">from distinct model vendors. Our central finding is that</w:t>
      </w:r>
      <w:r>
        <w:t xml:space="preserve"> </w:t>
      </w:r>
      <w:r>
        <w:rPr>
          <w:i/>
          <w:iCs/>
        </w:rPr>
        <w:t xml:space="preserve">composition</w:t>
      </w:r>
      <w:r>
        <w:t xml:space="preserve"> </w:t>
      </w:r>
      <w:r>
        <w:t xml:space="preserve">(vendor diversity), not 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w:t>
      </w:r>
    </w:p>
    <w:p>
      <w:pPr>
        <w:pStyle w:val="Compact"/>
        <w:numPr>
          <w:ilvl w:val="0"/>
          <w:numId w:val="1001"/>
        </w:numPr>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jc w:val="both"/>
        <w:keepNext w:val="0"/>
        <w:keepLines w:val="0"/>
        <w:widowControl w:val="1"/>
      </w:pPr>
      <w:r>
        <w:rPr>
          <w:b/>
          <w:bCs/>
        </w:rPr>
        <w:t xml:space="preserve">(4) An open, declarative system that ranks models from one file.</w:t>
      </w:r>
      <w:r>
        <w:t xml:space="preserve"> </w:t>
      </w:r>
      <w:r>
        <w:t xml:space="preserve">CoEval is model-agnostic and</w:t>
      </w:r>
      <w:r>
        <w:t xml:space="preserve"> </w:t>
      </w:r>
      <w:r>
        <w:t xml:space="preserve">task-agnostic: any model reachable through one of sixteen provider interfaces (cloud, open-weight, or local) can</w:t>
      </w:r>
      <w:r>
        <w:t xml:space="preserve"> </w:t>
      </w:r>
      <w:r>
        <w:t xml:space="preserve">serve as teacher, student, or judge, and a task or domain is described declaratively. Ranking a family of candidate</w:t>
      </w:r>
      <w:r>
        <w:t xml:space="preserve"> </w:t>
      </w:r>
      <w:r>
        <w:t xml:space="preserve">models on a custom use case is a single command, and we demonstrate (Section 5.1, Table 2) that CoEval</w:t>
      </w:r>
      <w:r>
        <w:t xml:space="preserve"> </w:t>
      </w:r>
      <w:r>
        <w:t xml:space="preserve">recovers the correct ground-truth ranking. The whole pipeline is specified in one YAML file and is fully</w:t>
      </w:r>
      <w:r>
        <w:t xml:space="preserve"> </w:t>
      </w:r>
      <w:r>
        <w:t xml:space="preserve">reproducible and open-source.</w:t>
      </w:r>
    </w:p>
    <w:p>
      <w:pPr>
        <w:pStyle w:val="FirstParagraph"/>
        <w:jc w:val="both"/>
        <w:keepNext w:val="0"/>
        <w:keepLines w:val="0"/>
        <w:widowControl w:val="1"/>
      </w:pPr>
      <w:r>
        <w:t xml:space="preserve">CoEval requires no human annotation. In a four-task medium-scale study it produced 7,978 valid evaluations for</w:t>
      </w:r>
      <w:r>
        <w:t xml:space="preserve"> </w:t>
      </w:r>
      <w:r>
        <w:t xml:space="preserve">USD 5.89 end-to-end.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and rubric generalization.</w:t>
      </w:r>
    </w:p>
    <w:bookmarkEnd w:id="12"/>
    <w:bookmarkStart w:id="15" w:name="related-work"/>
    <w:p>
      <w:pPr>
        <w:pStyle w:val="Heading2"/>
        <w:keepNext/>
        <w:keepLines/>
        <w:widowControl w:val="1"/>
      </w:pPr>
      <w:r>
        <w:t xml:space="preserve">2. Related Work</w:t>
      </w:r>
    </w:p>
    <w:bookmarkStart w:id="13"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w:t>
      </w:r>
      <w:r>
        <w:t xml:space="preserve"> </w:t>
      </w:r>
      <w:hyperlink w:anchor="r1">
        <w:r>
          <w:rPr>
            <w:rStyle w:val="Hyperlink"/>
            <w:vertAlign w:val="superscript"/>
          </w:rPr>
          <w:t xml:space="preserve">[1]</w:t>
        </w:r>
      </w:hyperlink>
      <w:r>
        <w:t xml:space="preserve"> </w:t>
      </w:r>
      <w:r>
        <w:t xml:space="preserve">established LLM-as-judge as a scalable proxy for human</w:t>
      </w:r>
      <w:r>
        <w:t xml:space="preserve"> </w:t>
      </w:r>
      <w:r>
        <w:t xml:space="preserve">preference, and documented its biases. G-Eval</w:t>
      </w:r>
      <w:r>
        <w:t xml:space="preserve"> </w:t>
      </w:r>
      <w:hyperlink w:anchor="r2">
        <w:r>
          <w:rPr>
            <w:rStyle w:val="Hyperlink"/>
            <w:vertAlign w:val="superscript"/>
          </w:rPr>
          <w:t xml:space="preserve">[2]</w:t>
        </w:r>
      </w:hyperlink>
      <w:r>
        <w:t xml:space="preserve"> </w:t>
      </w:r>
      <w:r>
        <w:t xml:space="preserve">uses a single strong model with</w:t>
      </w:r>
      <w:r>
        <w:t xml:space="preserve"> </w:t>
      </w:r>
      <w:r>
        <w:t xml:space="preserve">chain-of-thought to score generation quality against a user-supplied rubric, while Prometheus 2</w:t>
      </w:r>
      <w:r>
        <w:t xml:space="preserve"> </w:t>
      </w:r>
      <w:hyperlink w:anchor="r3">
        <w:r>
          <w:rPr>
            <w:rStyle w:val="Hyperlink"/>
            <w:vertAlign w:val="superscript"/>
          </w:rPr>
          <w:t xml:space="preserve">[3]</w:t>
        </w:r>
      </w:hyperlink>
      <w:r>
        <w:t xml:space="preserve"> </w:t>
      </w:r>
      <w:r>
        <w:t xml:space="preserve">trains a dedicated open evaluator.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w:t>
      </w:r>
      <w:r>
        <w:t xml:space="preserve"> </w:t>
      </w:r>
      <w:hyperlink w:anchor="r4">
        <w:r>
          <w:rPr>
            <w:rStyle w:val="Hyperlink"/>
            <w:vertAlign w:val="superscript"/>
          </w:rPr>
          <w:t xml:space="preserve">[4]</w:t>
        </w:r>
      </w:hyperlink>
      <w:r>
        <w:t xml:space="preserve"> </w:t>
      </w:r>
      <w:r>
        <w:t xml:space="preserve">and JudgeBench</w:t>
      </w:r>
      <w:r>
        <w:t xml:space="preserve"> </w:t>
      </w:r>
      <w:hyperlink w:anchor="r6">
        <w:r>
          <w:rPr>
            <w:rStyle w:val="Hyperlink"/>
            <w:vertAlign w:val="superscript"/>
          </w:rPr>
          <w:t xml:space="preserve">[6]</w:t>
        </w:r>
      </w:hyperlink>
      <w:r>
        <w:t xml:space="preserve"> </w:t>
      </w:r>
      <w:r>
        <w:t xml:space="preserve">study the reliability of judge models, and BiGGen-Bench</w:t>
      </w:r>
      <w:r>
        <w:t xml:space="preserve"> </w:t>
      </w:r>
      <w:hyperlink w:anchor="r7">
        <w:r>
          <w:rPr>
            <w:rStyle w:val="Hyperlink"/>
            <w:vertAlign w:val="superscript"/>
          </w:rPr>
          <w:t xml:space="preserve">[7]</w:t>
        </w:r>
      </w:hyperlink>
      <w:r>
        <w:t xml:space="preserve"> </w:t>
      </w:r>
      <w:r>
        <w:t xml:space="preserve">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w:t>
      </w:r>
      <w:r>
        <w:t xml:space="preserve"> </w:t>
      </w:r>
      <w:hyperlink w:anchor="r5">
        <w:r>
          <w:rPr>
            <w:rStyle w:val="Hyperlink"/>
            <w:vertAlign w:val="superscript"/>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w:t>
      </w:r>
      <w:r>
        <w:t xml:space="preserve"> </w:t>
      </w:r>
      <w:hyperlink w:anchor="r21">
        <w:r>
          <w:rPr>
            <w:rStyle w:val="Hyperlink"/>
            <w:vertAlign w:val="superscript"/>
          </w:rPr>
          <w:t xml:space="preserve">[21]</w:t>
        </w:r>
      </w:hyperlink>
      <w:r>
        <w:t xml:space="preserve"> </w:t>
      </w:r>
      <w:r>
        <w:t xml:space="preserve">and</w:t>
      </w:r>
      <w:r>
        <w:t xml:space="preserve"> </w:t>
      </w:r>
      <w:r>
        <w:t xml:space="preserve">meta-judge frameworks</w:t>
      </w:r>
      <w:r>
        <w:t xml:space="preserve"> </w:t>
      </w:r>
      <w:hyperlink w:anchor="r26">
        <w:r>
          <w:rPr>
            <w:rStyle w:val="Hyperlink"/>
            <w:vertAlign w:val="superscript"/>
          </w:rPr>
          <w:t xml:space="preserve">[26]</w:t>
        </w:r>
      </w:hyperlink>
      <w:r>
        <w:t xml:space="preserve"> </w:t>
      </w:r>
      <w:r>
        <w:t xml:space="preserve">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hyperlink w:anchor="r15">
        <w:r>
          <w:rPr>
            <w:rStyle w:val="Hyperlink"/>
            <w:vertAlign w:val="superscript"/>
          </w:rPr>
          <w:t xml:space="preserve">[15]</w:t>
        </w:r>
      </w:hyperlink>
      <w:r>
        <w:t xml:space="preserve"> </w:t>
      </w:r>
      <w:r>
        <w:t xml:space="preserve">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hyperlink w:anchor="r16">
        <w:r>
          <w:rPr>
            <w:rStyle w:val="Hyperlink"/>
            <w:vertAlign w:val="superscript"/>
          </w:rPr>
          <w:t xml:space="preserve">[16]</w:t>
        </w:r>
      </w:hyperlink>
      <w:r>
        <w:t xml:space="preserve"> </w:t>
      </w:r>
      <w:r>
        <w:t xml:space="preserve">measures this same-family bias statistically, finding that frontier models favor</w:t>
      </w:r>
      <w:r>
        <w:t xml:space="preserve"> </w:t>
      </w:r>
      <w:r>
        <w:t xml:space="preserve">same-family outputs. Self-preference has been characterized mechanistically</w:t>
      </w:r>
      <w:r>
        <w:t xml:space="preserve"> </w:t>
      </w:r>
      <w:hyperlink w:anchor="r18">
        <w:r>
          <w:rPr>
            <w:rStyle w:val="Hyperlink"/>
            <w:vertAlign w:val="superscript"/>
          </w:rPr>
          <w:t xml:space="preserve">[18]</w:t>
        </w:r>
      </w:hyperlink>
      <w:r>
        <w:t xml:space="preserve"> </w:t>
      </w:r>
      <w:r>
        <w:t xml:space="preserve">and</w:t>
      </w:r>
      <w:r>
        <w:t xml:space="preserve"> </w:t>
      </w:r>
      <w:r>
        <w:t xml:space="preserve">partly attributed to legitimate capability rather than pure bias</w:t>
      </w:r>
      <w:r>
        <w:t xml:space="preserve"> </w:t>
      </w:r>
      <w:hyperlink w:anchor="r24">
        <w:r>
          <w:rPr>
            <w:rStyle w:val="Hyperlink"/>
            <w:vertAlign w:val="superscript"/>
          </w:rPr>
          <w:t xml:space="preserve">[24]</w:t>
        </w:r>
      </w:hyperlink>
      <w:r>
        <w:t xml:space="preserve">. Broad bias</w:t>
      </w:r>
      <w:r>
        <w:t xml:space="preserve"> </w:t>
      </w:r>
      <w:r>
        <w:t xml:space="preserve">taxonomies</w:t>
      </w:r>
      <w:r>
        <w:t xml:space="preserve"> </w:t>
      </w:r>
      <w:hyperlink w:anchor="r17">
        <w:r>
          <w:rPr>
            <w:rStyle w:val="Hyperlink"/>
            <w:vertAlign w:val="superscript"/>
          </w:rPr>
          <w:t xml:space="preserve">[17]</w:t>
        </w:r>
      </w:hyperlink>
      <w:r>
        <w:t xml:space="preserve"> </w:t>
      </w:r>
      <w:r>
        <w:t xml:space="preserve">and recent surveys</w:t>
      </w:r>
      <w:r>
        <w:t xml:space="preserve"> </w:t>
      </w:r>
      <w:hyperlink w:anchor="r19">
        <w:r>
          <w:rPr>
            <w:rStyle w:val="Hyperlink"/>
            <w:vertAlign w:val="superscript"/>
          </w:rPr>
          <w:t xml:space="preserve">[19]</w:t>
        </w:r>
      </w:hyperlink>
      <w:hyperlink w:anchor="r20">
        <w:r>
          <w:rPr>
            <w:rStyle w:val="Hyperlink"/>
            <w:vertAlign w:val="superscript"/>
          </w:rPr>
          <w:t xml:space="preserve">[20]</w:t>
        </w:r>
      </w:hyperlink>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level—and pairs it with</w:t>
      </w:r>
      <w:r>
        <w:t xml:space="preserve"> </w:t>
      </w:r>
      <w:r>
        <w:t xml:space="preserve">contamination-free item generation, so both items and judges are bias-hardened rather than only the scoring step.</w:t>
      </w:r>
    </w:p>
    <w:bookmarkEnd w:id="13"/>
    <w:bookmarkStart w:id="14"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AutoBencher</w:t>
      </w:r>
      <w:r>
        <w:t xml:space="preserve"> </w:t>
      </w:r>
      <w:hyperlink w:anchor="r9">
        <w:r>
          <w:rPr>
            <w:rStyle w:val="Hyperlink"/>
            <w:vertAlign w:val="superscript"/>
          </w:rPr>
          <w:t xml:space="preserve">[9]</w:t>
        </w:r>
      </w:hyperlink>
      <w:r>
        <w:t xml:space="preserve"> </w:t>
      </w:r>
      <w:r>
        <w:t xml:space="preserve">searches for benchmark questions that optimize difficulty and novelty,</w:t>
      </w:r>
      <w:r>
        <w:t xml:space="preserve"> </w:t>
      </w:r>
      <w:r>
        <w:t xml:space="preserve">but evaluates with a</w:t>
      </w:r>
      <w:r>
        <w:t xml:space="preserve"> </w:t>
      </w:r>
      <w:r>
        <w:rPr>
          <w:i/>
          <w:iCs/>
        </w:rPr>
        <w:t xml:space="preserve">single</w:t>
      </w:r>
      <w:r>
        <w:t xml:space="preserve"> </w:t>
      </w:r>
      <w:r>
        <w:t xml:space="preserve">judge and does not enforce cross-family scoring or role separation. CoEval adds a</w:t>
      </w:r>
      <w:r>
        <w:t xml:space="preserve"> </w:t>
      </w:r>
      <w:r>
        <w:t xml:space="preserve">cross-family multi-judge layer, explicit teacher/student/judge role separation, and continuous inter-judge agreement</w:t>
      </w:r>
      <w:r>
        <w:t xml:space="preserve"> </w:t>
      </w:r>
      <w:r>
        <w:t xml:space="preserve">monitoring. BenchAgents</w:t>
      </w:r>
      <w:r>
        <w:t xml:space="preserve"> </w:t>
      </w:r>
      <w:hyperlink w:anchor="r10">
        <w:r>
          <w:rPr>
            <w:rStyle w:val="Hyperlink"/>
            <w:vertAlign w:val="superscript"/>
          </w:rPr>
          <w:t xml:space="preserve">[10]</w:t>
        </w:r>
      </w:hyperlink>
      <w:r>
        <w:t xml:space="preserve"> </w:t>
      </w:r>
      <w:r>
        <w:t xml:space="preserve">and YourBench</w:t>
      </w:r>
      <w:r>
        <w:t xml:space="preserve"> </w:t>
      </w:r>
      <w:hyperlink w:anchor="r11">
        <w:r>
          <w:rPr>
            <w:rStyle w:val="Hyperlink"/>
            <w:vertAlign w:val="superscript"/>
          </w:rPr>
          <w:t xml:space="preserve">[11]</w:t>
        </w:r>
      </w:hyperlink>
      <w:r>
        <w:t xml:space="preserve"> </w:t>
      </w:r>
      <w:r>
        <w:t xml:space="preserve">likewise</w:t>
      </w:r>
      <w:r>
        <w:t xml:space="preserve"> </w:t>
      </w:r>
      <w:r>
        <w:t xml:space="preserve">automate benchmark construction; CoEval's distinguishing feature is attribute-</w:t>
      </w:r>
      <w:r>
        <w:rPr>
          <w:i/>
          <w:iCs/>
        </w:rPr>
        <w:t xml:space="preserve">stratified</w:t>
      </w:r>
      <w:r>
        <w:t xml:space="preserve"> </w:t>
      </w:r>
      <w:r>
        <w:t xml:space="preserve">coverage—the</w:t>
      </w:r>
      <w:r>
        <w:t xml:space="preserve"> </w:t>
      </w:r>
      <w:r>
        <w:t xml:space="preserve">sampler allocates a per-stratum floor of items to each declared attribute combination—coupled to bias-cancelled</w:t>
      </w:r>
      <w:r>
        <w:t xml:space="preserve"> </w:t>
      </w:r>
      <w:r>
        <w:t xml:space="preserve">scoring. The contamination motivation is sharpened by GSM1k</w:t>
      </w:r>
      <w:r>
        <w:t xml:space="preserve"> </w:t>
      </w:r>
      <w:hyperlink w:anchor="r12">
        <w:r>
          <w:rPr>
            <w:rStyle w:val="Hyperlink"/>
            <w:vertAlign w:val="superscript"/>
          </w:rPr>
          <w:t xml:space="preserve">[12]</w:t>
        </w:r>
      </w:hyperlink>
      <w:r>
        <w:t xml:space="preserve">, which exposed memorization on grade-school arithmetic, and by recent surveys of</w:t>
      </w:r>
      <w:r>
        <w:t xml:space="preserve"> </w:t>
      </w:r>
      <w:r>
        <w:t xml:space="preserve">data contamination in LLMs</w:t>
      </w:r>
      <w:r>
        <w:t xml:space="preserve"> </w:t>
      </w:r>
      <w:hyperlink w:anchor="r13">
        <w:r>
          <w:rPr>
            <w:rStyle w:val="Hyperlink"/>
            <w:vertAlign w:val="superscript"/>
          </w:rPr>
          <w:t xml:space="preserve">[13]</w:t>
        </w:r>
      </w:hyperlink>
      <w:r>
        <w:t xml:space="preserve">. Live benchmarks such as LiveBench</w:t>
      </w:r>
      <w:r>
        <w:t xml:space="preserve"> </w:t>
      </w:r>
      <w:hyperlink w:anchor="r22">
        <w:r>
          <w:rPr>
            <w:rStyle w:val="Hyperlink"/>
            <w:vertAlign w:val="superscript"/>
          </w:rPr>
          <w:t xml:space="preserve">[22]</w:t>
        </w:r>
      </w:hyperlink>
      <w:r>
        <w:t xml:space="preserve"> </w:t>
      </w:r>
      <w:r>
        <w:t xml:space="preserve">and LiveCodeBench</w:t>
      </w:r>
      <w:r>
        <w:t xml:space="preserve"> </w:t>
      </w:r>
      <w:hyperlink w:anchor="r23">
        <w:r>
          <w:rPr>
            <w:rStyle w:val="Hyperlink"/>
            <w:vertAlign w:val="superscript"/>
          </w:rPr>
          <w:t xml:space="preserve">[23]</w:t>
        </w:r>
      </w:hyperlink>
      <w:r>
        <w:t xml:space="preserve"> </w:t>
      </w:r>
      <w:r>
        <w:t xml:space="preserve">limit leakage by continuously</w:t>
      </w:r>
      <w:r>
        <w:t xml:space="preserve"> </w:t>
      </w:r>
      <w:r>
        <w:t xml:space="preserve">releasing fresh, time-windowed items, but rely on human-curated questions with objective answers and avoid LLM judges;</w:t>
      </w:r>
      <w:r>
        <w:t xml:space="preserve"> </w:t>
      </w:r>
      <w:r>
        <w:t xml:space="preserve">CoEval extends contamination resistance to</w:t>
      </w:r>
      <w:r>
        <w:t xml:space="preserve"> </w:t>
      </w:r>
      <w:r>
        <w:rPr>
          <w:i/>
          <w:iCs/>
        </w:rPr>
        <w:t xml:space="preserve">open-ended, judge-scored</w:t>
      </w:r>
      <w:r>
        <w:t xml:space="preserve"> </w:t>
      </w:r>
      <w:r>
        <w:t xml:space="preserve">tasks by generating fresh,</w:t>
      </w:r>
      <w:r>
        <w:t xml:space="preserve"> </w:t>
      </w:r>
      <w:r>
        <w:t xml:space="preserve">attribute-controlled items on demand. Dynabench</w:t>
      </w:r>
      <w:r>
        <w:t xml:space="preserve"> </w:t>
      </w:r>
      <w:hyperlink w:anchor="r14">
        <w:r>
          <w:rPr>
            <w:rStyle w:val="Hyperlink"/>
            <w:vertAlign w:val="superscript"/>
          </w:rPr>
          <w:t xml:space="preserve">[14]</w:t>
        </w:r>
      </w:hyperlink>
      <w:r>
        <w:t xml:space="preserve"> </w:t>
      </w:r>
      <w:r>
        <w:t xml:space="preserve">proposed dynamic, human-in-the-loop</w:t>
      </w:r>
      <w:r>
        <w:t xml:space="preserve"> </w:t>
      </w:r>
      <w:r>
        <w:t xml:space="preserve">renewal; CoEval automates renewal without humans. Constructing domain-specific evaluation sets for LLM judges</w:t>
      </w:r>
      <w:r>
        <w:t xml:space="preserve"> </w:t>
      </w:r>
      <w:hyperlink w:anchor="r25">
        <w:r>
          <w:rPr>
            <w:rStyle w:val="Hyperlink"/>
            <w:vertAlign w:val="superscript"/>
          </w:rPr>
          <w:t xml:space="preserve">[25]</w:t>
        </w:r>
      </w:hyperlink>
      <w:r>
        <w:t xml:space="preserve"> </w:t>
      </w:r>
      <w:r>
        <w:t xml:space="preserve">targets verticals such as medicine and law; CoEval generates such domain-targeted</w:t>
      </w:r>
      <w:r>
        <w:t xml:space="preserve"> </w:t>
      </w:r>
      <w:r>
        <w:t xml:space="preserve">items automatically within the same pipeline. Length-Controlled AlpacaEval</w:t>
      </w:r>
      <w:r>
        <w:t xml:space="preserve"> </w:t>
      </w:r>
      <w:hyperlink w:anchor="r8">
        <w:r>
          <w:rPr>
            <w:rStyle w:val="Hyperlink"/>
            <w:vertAlign w:val="superscript"/>
          </w:rPr>
          <w:t xml:space="preserve">[8]</w:t>
        </w:r>
      </w:hyperlink>
      <w:r>
        <w:t xml:space="preserve"> </w:t>
      </w:r>
      <w:r>
        <w:t xml:space="preserve">debiases for</w:t>
      </w:r>
      <w:r>
        <w:t xml:space="preserve"> </w:t>
      </w:r>
      <w:r>
        <w:t xml:space="preserve">verbosity post hoc on a single judge; CoEval instead cancels verbosity bias through panel diversity (Section 5.3).</w:t>
      </w:r>
    </w:p>
    <w:bookmarkEnd w:id="14"/>
    <w:bookmarkEnd w:id="15"/>
    <w:bookmarkStart w:id="23"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YAML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pStyle w:val="BodyText"/>
        <w:jc w:val="center"/>
        <w:keepNext/>
        <w:keepLines/>
        <w:widowControl w:val="1"/>
      </w:pPr>
      <w:r>
        <w:drawing>
          <wp:inline>
            <wp:extent cx="5943600" cy="1920171"/>
            <wp:effectExtent b="0" l="0" r="0" t="0"/>
            <wp:docPr descr="CoEval five-phase pipeline with teacher, student, and judge role bands" title="" id="17" name="Picture"/>
            <a:graphic>
              <a:graphicData uri="http://schemas.openxmlformats.org/drawingml/2006/picture">
                <pic:pic>
                  <pic:nvPicPr>
                    <pic:cNvPr descr="figures/f1_architecture.png" id="18" name="Picture"/>
                    <pic:cNvPicPr>
                      <a:picLocks noChangeArrowheads="1" noChangeAspect="1"/>
                    </pic:cNvPicPr>
                  </pic:nvPicPr>
                  <pic:blipFill>
                    <a:blip r:embed="rId16"/>
                    <a:stretch>
                      <a:fillRect/>
                    </a:stretch>
                  </pic:blipFill>
                  <pic:spPr bwMode="auto">
                    <a:xfrm>
                      <a:off x="0" y="0"/>
                      <a:ext cx="5943600" cy="192017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w:t>
      </w:r>
      <w:r>
        <w:t xml:space="preserve"> </w:t>
      </w:r>
      <w:r>
        <w:t xml:space="preserve">The CoEval pipeline. A single pool of models rotates through three roles:</w:t>
      </w:r>
      <w:r>
        <w:t xml:space="preserve"> </w:t>
      </w:r>
      <w:r>
        <w:t xml:space="preserve">teachers map attributes, construct rubrics, and generate fresh benchmark items (Phases 1–3); students</w:t>
      </w:r>
      <w:r>
        <w:t xml:space="preserve"> </w:t>
      </w:r>
      <w:r>
        <w:t xml:space="preserve">produce candidate responses (Phase 4); and a cross-family judge ensemble scores them (Phase 5). The entire</w:t>
      </w:r>
      <w:r>
        <w:t xml:space="preserve"> </w:t>
      </w:r>
      <w:r>
        <w:t xml:space="preserve">run is specified in one YAML file and emits eight interactive reports plus a benchmark export.</w:t>
      </w:r>
    </w:p>
    <w:bookmarkStart w:id="19"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(Section 5.4).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9"/>
    <w:bookmarkStart w:id="20"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jc w:val="both"/>
        <w:keepNext w:val="0"/>
        <w:keepLines w:val="0"/>
        <w:widowControl w:val="1"/>
      </w:pPr>
      <w:r>
        <w:t xml:space="preserve">$</w:t>
      </w: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w:r>
        <w:t xml:space="preserve">$</w:t>
      </w:r>
    </w:p>
    <w:p>
      <w:pPr>
        <w:pStyle w:val="BodyText"/>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(Appendix A,</w:t>
      </w:r>
      <w:r>
        <w:t xml:space="preserve"> </w:t>
      </w:r>
      <w:r>
        <w:t xml:space="preserve">panel A3) recording the realized per-stratum counts, and we treat stratified coverage as a system feature whose</w:t>
      </w:r>
      <w:r>
        <w:t xml:space="preserve"> </w:t>
      </w:r>
      <w:r>
        <w:t xml:space="preserve">downstream effect on ranking discrimination we do not separately quantify here. Because items are generated fresh on</w:t>
      </w:r>
      <w:r>
        <w:t xml:space="preserve"> </w:t>
      </w:r>
      <w:r>
        <w:t xml:space="preserve">each run from the attribute specification, the resulting benchmark cannot have been seen during any student's</w:t>
      </w:r>
      <w:r>
        <w:t xml:space="preserve"> </w:t>
      </w:r>
      <w:r>
        <w:t xml:space="preserve">pretraining — contamination-resistance is a structural property of generation, not a post-hoc filter.</w:t>
      </w:r>
    </w:p>
    <w:bookmarkEnd w:id="20"/>
    <w:bookmarkStart w:id="21"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jc w:val="both"/>
        <w:keepNext w:val="0"/>
        <w:keepLines w:val="0"/>
        <w:widowControl w:val="1"/>
      </w:pPr>
      <w:r>
        <w:t xml:space="preserve">$</w:t>
      </w: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w:r>
        <w:t xml:space="preserve">$</w:t>
      </w:r>
    </w:p>
    <w:p>
      <w:pPr>
        <w:pStyle w:val="BodyText"/>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 as we observe empirically for verbosity</w:t>
      </w:r>
      <w:r>
        <w:t xml:space="preserve"> </w:t>
      </w:r>
      <w:r>
        <w:t xml:space="preserve">(Section 5.3) —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w:t>
      </w:r>
    </w:p>
    <w:bookmarkEnd w:id="21"/>
    <w:bookmarkStart w:id="22"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the agreement of the judge panel using intraclass correlation. For an average-measures design over</w:t>
      </w:r>
      <w:r>
        <w:t xml:space="preserve"> </w:t>
      </w:r>
      <m:oMath>
        <m:r>
          <m:t>k</m:t>
        </m:r>
      </m:oMath>
      <w:r>
        <w:t xml:space="preserve"> </w:t>
      </w:r>
      <w:r>
        <w:t xml:space="preserve">judges, the ICC(3,k) reliability is</w:t>
      </w:r>
    </w:p>
    <w:p>
      <w:pPr>
        <w:pStyle w:val="BodyText"/>
        <w:jc w:val="both"/>
        <w:keepNext w:val="0"/>
        <w:keepLines w:val="0"/>
        <w:widowControl w:val="1"/>
      </w:pPr>
      <w:r>
        <w:t xml:space="preserve">$</w:t>
      </w: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w:r>
        <w:t xml:space="preserve">$</w:t>
      </w:r>
    </w:p>
    <w:p>
      <w:pPr>
        <w:pStyle w:val="BodyText"/>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jc w:val="both"/>
        <w:keepNext w:val="0"/>
        <w:keepLines w:val="0"/>
        <w:widowControl w:val="1"/>
      </w:pPr>
      <w:r>
        <w:t xml:space="preserve">$</w:t>
      </w: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w:r>
        <w:t xml:space="preserve">$</w:t>
      </w:r>
    </w:p>
    <w:p>
      <w:pPr>
        <w:pStyle w:val="BodyText"/>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jc w:val="both"/>
        <w:keepNext w:val="0"/>
        <w:keepLines w:val="0"/>
        <w:widowControl w:val="1"/>
      </w:pPr>
      <w:r>
        <w:t xml:space="preserve">$</w:t>
      </w: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w:r>
        <w:t xml:space="preserve">$</w:t>
      </w:r>
    </w:p>
    <w:p>
      <w:pPr>
        <w:pStyle w:val="BodyText"/>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w:t>
      </w:r>
    </w:p>
    <w:bookmarkEnd w:id="22"/>
    <w:bookmarkEnd w:id="23"/>
    <w:bookmarkStart w:id="24"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configuration—model identifiers,</w:t>
      </w:r>
      <w:r>
        <w:t xml:space="preserve"> </w:t>
      </w:r>
      <w:r>
        <w:t xml:space="preserve">attribute strata, and prompts—is captured in a single declarative YAML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bookmarkEnd w:id="24"/>
    <w:bookmarkStart w:id="47" w:name="results"/>
    <w:p>
      <w:pPr>
        <w:pStyle w:val="Heading2"/>
        <w:keepNext/>
        <w:keepLines/>
        <w:widowControl w:val="1"/>
      </w:pPr>
      <w:r>
        <w:t xml:space="preserve">5. Results</w:t>
      </w:r>
    </w:p>
    <w:bookmarkStart w:id="28" w:name="ground-truth-correlation"/>
    <w:p>
      <w:pPr>
        <w:pStyle w:val="Heading3"/>
        <w:keepNext/>
        <w:keepLines/>
        <w:widowControl w:val="1"/>
      </w:pPr>
      <w:r>
        <w:t xml:space="preserve">5.1 Ground-truth correlation</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w:t>
      </w:r>
      <m:oMath>
        <m:r>
          <m:t>n</m:t>
        </m:r>
        <m:r>
          <m:rPr>
            <m:sty m:val="p"/>
          </m:rPr>
          <m:t>=</m:t>
        </m:r>
        <m:r>
          <m:t>573</m:t>
        </m:r>
      </m:oMath>
      <w:r>
        <w:t xml:space="preserve"> </w:t>
      </w:r>
      <w:r>
        <w:t xml:space="preserve">from three student models, drawn from</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0.28</m:t>
        </m:r>
      </m:oMath>
      <w:r>
        <w:t xml:space="preserve">) and the full-rubric average (</w:t>
      </w:r>
      <m:oMath>
        <m:r>
          <m:t>ρ</m:t>
        </m:r>
        <m:r>
          <m:rPr>
            <m:sty m:val="p"/>
          </m:rPr>
          <m:t>=</m:t>
        </m:r>
        <m:r>
          <m:t>0.57</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sanity test, which isolates judge accuracy.</w:t>
      </w:r>
    </w:p>
    <w:p>
      <w:pPr>
        <w:pStyle w:val="TableCaption"/>
        <w:spacing w:before="160" w:after="60" w:line="240" w:lineRule="auto"/>
        <w:jc w:val="center"/>
        <w:keepNext/>
        <w:keepLines/>
        <w:widowControl w:val="1"/>
      </w:pPr>
      <w:r>
        <w:rPr>
          <w:b/>
          <w:bCs/>
        </w:rPr>
        <w:t xml:space="preserve">Table 1.</w:t>
      </w:r>
      <w:r>
        <w:t xml:space="preserve"> </w:t>
      </w:r>
      <w:r>
        <w:t xml:space="preserve">Spearman correlation of CoEval accuracy scores with ground-truth correctness on</w:t>
      </w:r>
      <w:r>
        <w:t xml:space="preserve"> </w:t>
      </w:r>
      <w:r>
        <w:t xml:space="preserve">exact-match QA (SciQ, ARC-Challenge;</w:t>
      </w:r>
      <w:r>
        <w:t xml:space="preserve"> </w:t>
      </w:r>
      <m:oMath>
        <m:r>
          <m:t>191</m:t>
        </m:r>
      </m:oMath>
      <w:r>
        <w:t xml:space="preserve"> </w:t>
      </w:r>
      <w:r>
        <w:t xml:space="preserve">datapoints,</w:t>
      </w:r>
      <w:r>
        <w:t xml:space="preserve"> </w:t>
      </w:r>
      <m:oMath>
        <m:r>
          <m:t>573</m:t>
        </m:r>
      </m:oMath>
      <w:r>
        <w:t xml:space="preserve"> </w:t>
      </w:r>
      <w:r>
        <w:t xml:space="preserve">responses; datapoint-clustered 95% bootstrap CI). The</w:t>
      </w:r>
      <w:r>
        <w:t xml:space="preserve"> </w:t>
      </w:r>
      <w:r>
        <w:t xml:space="preserve">frontier cross-family ensemble tracks ground truth at</w:t>
      </w:r>
      <w:r>
        <w:t xml:space="preserve"> </w:t>
      </w:r>
      <m:oMath>
        <m:r>
          <m:t>ρ</m:t>
        </m:r>
        <m:r>
          <m:rPr>
            <m:sty m:val="p"/>
          </m:rPr>
          <m:t>=</m:t>
        </m:r>
        <m:r>
          <m:t>0.86</m:t>
        </m:r>
      </m:oMath>
      <w:r>
        <w:t xml:space="preserve">. The three frontier judges agree on every item;</w:t>
      </w:r>
      <w:r>
        <w:t xml:space="preserve"> </w:t>
      </w:r>
      <w:r>
        <w:t xml:space="preserve">crucially, the weaker auxiliary judges they are contrasted against (Section 5.2) disagree on</w:t>
      </w:r>
      <w:r>
        <w:t xml:space="preserve"> </w:t>
      </w:r>
      <m:oMath>
        <m:r>
          <m:t>3</m:t>
        </m:r>
      </m:oMath>
      <w:r>
        <w:t xml:space="preserve">–</w:t>
      </w:r>
      <m:oMath>
        <m:r>
          <m:t>8</m:t>
        </m:r>
      </m:oMath>
      <w:r>
        <w:t xml:space="preserve"> </w:t>
      </w:r>
      <w:r>
        <w:t xml:space="preserve">items, confirming this is genuine independent convergence of capable judges on objective correctness, not redundancy</w:t>
      </w:r>
      <w:r>
        <w:t xml:space="preserve"> </w:t>
      </w:r>
      <w:r>
        <w:t xml:space="preserve">of identical models.</w:t>
      </w:r>
    </w:p>
    <w:tbl>
      <w:tblPr>
        <w:tblStyle w:val="Table"/>
        <w:tblW w:type="pct" w:w="5000"/>
        <w:jc w:val="center"/>
        <w:tblLook w:firstRow="1" w:lastRow="0" w:firstColumn="0" w:lastColumn="0" w:noHBand="0" w:noVBand="0" w:val="0020"/>
        <w:tblCaption w:val="Table 1. Spearman correlation of CoEval accuracy scores with ground-truth correctness on exact-match QA (SciQ, ARC-Challenge; 191 datapoints, 573 responses; datapoint-clustered 95% bootstrap CI). The frontier cross-family ensemble tracks ground truth at \rho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Evaluator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SciQ</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ARC-Challenge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Overall (clustered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CoEval frontier ensemble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+0.859</w:t>
            </w:r>
            <w:r>
              <w:rPr>
                <w:rFonts w:ascii="Times New Roman" w:hAnsi="Times New Roman"/>
                <w:sz w:val="20"/>
              </w:rPr>
              <w:t xml:space="preserve"> </w:t>
            </w:r>
            <w:r>
              <w:rPr>
                <w:rFonts w:ascii="Times New Roman" w:hAnsi="Times New Roman"/>
                <w:sz w:val="20"/>
              </w:rPr>
              <w:t xml:space="preserve">[0.77, 0.94]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 (OpenAI)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claude-sonnet-4 (Anthropic)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gemini-2.5-flash (Google)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bl>
    <w:p>
      <w:pPr>
        <w:pStyle w:val="BodyText"/>
        <w:spacing w:before="160"/>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here the ensemble</w:t>
      </w:r>
      <w:r>
        <w:t xml:space="preserve"> </w:t>
      </w:r>
      <w:r>
        <w:rPr>
          <w:i/>
          <w:iCs/>
        </w:rPr>
        <w:t xml:space="preserve">equals</w:t>
      </w:r>
      <w:r>
        <w:t xml:space="preserve"> </w:t>
      </w:r>
      <w:r>
        <w:t xml:space="preserve">its best member rather than exceeding it: this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—no single provider drives it—a</w:t>
      </w:r>
      <w:r>
        <w:t xml:space="preserve"> </w:t>
      </w:r>
      <w:r>
        <w:t xml:space="preserve">reliability floor rather than a demonstration of ensemble gain. The ensemble's distinctive value emerges where judges</w:t>
      </w:r>
      <w:r>
        <w:t xml:space="preserve"> </w:t>
      </w:r>
      <w:r>
        <w:t xml:space="preserve">legitimately disagree. On open-ended summarization scored against BERTScore, the ensemble (</w:t>
      </w:r>
      <m:oMath>
        <m:r>
          <m:t>ρ</m:t>
        </m:r>
        <m:r>
          <m:rPr>
            <m:sty m:val="p"/>
          </m:rPr>
          <m:t>=</m:t>
        </m:r>
        <m:r>
          <m:t>0.244</m:t>
        </m:r>
      </m:oMath>
      <w:r>
        <w:t xml:space="preserve">) exceeds the</w:t>
      </w:r>
      <w:r>
        <w:t xml:space="preserve"> </w:t>
      </w:r>
      <w:r>
        <w:rPr>
          <w:i/>
          <w:iCs/>
        </w:rPr>
        <w:t xml:space="preserve">average</w:t>
      </w:r>
      <w:r>
        <w:t xml:space="preserve"> </w:t>
      </w:r>
      <w:r>
        <w:t xml:space="preserve">single judge (</w:t>
      </w:r>
      <m:oMath>
        <m:r>
          <m:t>ρ</m:t>
        </m:r>
        <m:r>
          <m:rPr>
            <m:sty m:val="p"/>
          </m:rPr>
          <m:t>=</m:t>
        </m:r>
        <m:r>
          <m:t>0.121</m:t>
        </m:r>
      </m:oMath>
      <w:r>
        <w:t xml:space="preserve">) but not the</w:t>
      </w:r>
      <w:r>
        <w:t xml:space="preserve"> </w:t>
      </w:r>
      <w:r>
        <w:rPr>
          <w:i/>
          <w:iCs/>
        </w:rPr>
        <w:t xml:space="preserve">best</w:t>
      </w:r>
      <w:r>
        <w:t xml:space="preserve"> </w:t>
      </w:r>
      <w:r>
        <w:t xml:space="preserve">single judge (</w:t>
      </w:r>
      <m:oMath>
        <m:r>
          <m:t>ρ</m:t>
        </m:r>
        <m:r>
          <m:rPr>
            <m:sty m:val="p"/>
          </m:rPr>
          <m:t>=</m:t>
        </m:r>
        <m:r>
          <m:t>0.354</m:t>
        </m:r>
      </m:oMath>
      <w:r>
        <w:t xml:space="preserve">). As an external</w:t>
      </w:r>
      <w:r>
        <w:t xml:space="preserve"> </w:t>
      </w:r>
      <w:r>
        <w:t xml:space="preserve">baseline we run</w:t>
      </w:r>
      <w:r>
        <w:t xml:space="preserve"> </w:t>
      </w:r>
      <w:r>
        <w:rPr>
          <w:b/>
          <w:bCs/>
        </w:rPr>
        <w:t xml:space="preserve">G-Eval</w:t>
      </w:r>
      <w:r>
        <w:t xml:space="preserve"> </w:t>
      </w:r>
      <w:hyperlink w:anchor="r2">
        <w:r>
          <w:rPr>
            <w:rStyle w:val="Hyperlink"/>
            <w:vertAlign w:val="superscript"/>
          </w:rPr>
          <w:t xml:space="preserve">[2]</w:t>
        </w:r>
      </w:hyperlink>
      <w:r>
        <w:t xml:space="preserve"> </w:t>
      </w:r>
      <w:r>
        <w:t xml:space="preserve">(a single GPT-4o judge with chain-of-thought)</w:t>
      </w:r>
      <w:r>
        <w:t xml:space="preserve"> </w:t>
      </w:r>
      <w:r>
        <w:t xml:space="preserve">on the same responses; it correlates comparably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confirming that</w:t>
      </w:r>
      <w:r>
        <w:t xml:space="preserve"> </w:t>
      </w:r>
      <w:r>
        <w:rPr>
          <w:i/>
          <w:iCs/>
        </w:rPr>
        <w:t xml:space="preserve">no</w:t>
      </w:r>
      <w:r>
        <w:t xml:space="preserve"> </w:t>
      </w:r>
      <w:r>
        <w:t xml:space="preserve">evaluator aligns strongly with this lexical reference (the code-explanation subtask, where BLEU is</w:t>
      </w:r>
      <w:r>
        <w:t xml:space="preserve"> </w:t>
      </w:r>
      <w:r>
        <w:t xml:space="preserve">near-degenerate at</w:t>
      </w:r>
      <w:r>
        <w:t xml:space="preserve"> </w:t>
      </w:r>
      <m:oMath>
        <m:r>
          <m:t>ρ</m:t>
        </m:r>
        <m:r>
          <m:rPr>
            <m:sty m:val="p"/>
          </m:rPr>
          <m:t>=</m:t>
        </m:r>
        <m:r>
          <m:rPr>
            <m:sty m:val="p"/>
          </m:rPr>
          <m:t>−</m:t>
        </m:r>
        <m:r>
          <m:t>0.031</m:t>
        </m:r>
      </m:oMath>
      <w:r>
        <w:t xml:space="preserve">, is uninformative for every method). What distinguishes CoEval from a single G-Eval</w:t>
      </w:r>
      <w:r>
        <w:t xml:space="preserve"> </w:t>
      </w:r>
      <w:r>
        <w:t xml:space="preserve">judge is therefore not point-correlation but the bias-robustness of Section 5.3 and the contamination-resistant</w:t>
      </w:r>
      <w:r>
        <w:t xml:space="preserve"> </w:t>
      </w:r>
      <w:r>
        <w:t xml:space="preserve">items CoEval</w:t>
      </w:r>
      <w:r>
        <w:t xml:space="preserve"> </w:t>
      </w:r>
      <w:r>
        <w:rPr>
          <w:i/>
          <w:iCs/>
        </w:rPr>
        <w:t xml:space="preserve">generates</w:t>
      </w:r>
      <w:r>
        <w:t xml:space="preserve"> </w:t>
      </w:r>
      <w:r>
        <w:t xml:space="preserve">rather than consumes. Point-correlation against a noisy reference</w:t>
      </w:r>
      <w:r>
        <w:t xml:space="preserve"> </w:t>
      </w:r>
      <w:r>
        <w:t xml:space="preserve">is therefore the wrong lens for the ensemble's contribution. That contribution is</w:t>
      </w:r>
      <w:r>
        <w:t xml:space="preserve"> </w:t>
      </w:r>
      <w:r>
        <w:rPr>
          <w:i/>
          <w:iCs/>
        </w:rPr>
        <w:t xml:space="preserve">bias-robustness</w:t>
      </w:r>
      <w:r>
        <w:t xml:space="preserve">: on the</w:t>
      </w:r>
      <w:r>
        <w:t xml:space="preserve"> </w:t>
      </w:r>
      <w:r>
        <w:t xml:space="preserve">subjective dimensions of Section 5.3, individual judges carry verbosity biases of opposite sign that the ensemble</w:t>
      </w:r>
      <w:r>
        <w:t xml:space="preserve"> </w:t>
      </w:r>
      <w:r>
        <w:t xml:space="preserve">provably cancels—an advantage no single judge, however well it correlates with one reference, can provide.</w:t>
      </w:r>
    </w:p>
    <w:p>
      <w:pPr>
        <w:pStyle w:val="BodyText"/>
        <w:jc w:val="center"/>
        <w:keepNext/>
        <w:keepLines/>
        <w:widowControl w:val="1"/>
      </w:pPr>
      <w:r>
        <w:drawing>
          <wp:inline>
            <wp:extent cx="5023104" cy="3169920"/>
            <wp:effectExtent b="0" l="0" r="0" t="0"/>
            <wp:docPr descr="Spearman correlation with ground-truth correctness per judge and ensemble" title="" id="26" name="Picture"/>
            <a:graphic>
              <a:graphicData uri="http://schemas.openxmlformats.org/drawingml/2006/picture">
                <pic:pic>
                  <pic:nvPicPr>
                    <pic:cNvPr descr="figures/f4_correctness_corr.png" id="27" name="Picture"/>
                    <pic:cNvPicPr>
                      <a:picLocks noChangeArrowheads="1" noChangeAspect="1"/>
                    </pic:cNvPicPr>
                  </pic:nvPicPr>
                  <pic:blipFill>
                    <a:blip r:embed="rId25"/>
                    <a:stretch>
                      <a:fillRect/>
                    </a:stretch>
                  </pic:blipFill>
                  <pic:spPr bwMode="auto">
                    <a:xfrm>
                      <a:off x="0" y="0"/>
                      <a:ext cx="5023104"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Rank correlation of CoEval accuracy scores with ground-truth answer correctness</w:t>
      </w:r>
      <w:r>
        <w:t xml:space="preserve"> </w:t>
      </w:r>
      <w:r>
        <w:t xml:space="preserve">on exact-match QA (</w:t>
      </w:r>
      <m:oMath>
        <m:r>
          <m:t>191</m:t>
        </m:r>
      </m:oMath>
      <w:r>
        <w:t xml:space="preserve"> </w:t>
      </w:r>
      <w:r>
        <w:t xml:space="preserve">datapoints,</w:t>
      </w:r>
      <w:r>
        <w:t xml:space="preserve"> </w:t>
      </w:r>
      <m:oMath>
        <m:r>
          <m:t>573</m:t>
        </m:r>
      </m:oMath>
      <w:r>
        <w:t xml:space="preserve"> </w:t>
      </w:r>
      <w:r>
        <w:t xml:space="preserve">responses). The frontier cross-family ensemble reaches</w:t>
      </w:r>
      <w:r>
        <w:t xml:space="preserve"> </w:t>
      </w:r>
      <m:oMath>
        <m:r>
          <m:t>ρ</m:t>
        </m:r>
        <m:r>
          <m:rPr>
            <m:sty m:val="p"/>
          </m:rPr>
          <m:t>=</m:t>
        </m:r>
        <m:r>
          <m:t>0.86</m:t>
        </m:r>
      </m:oMath>
      <w:r>
        <w:t xml:space="preserve"> </w:t>
      </w:r>
      <w:r>
        <w:t xml:space="preserve">(datapoint-clustered 95% CI shown); the three frontier judges converge on identical labels, so the ensemble equals</w:t>
      </w:r>
      <w:r>
        <w:t xml:space="preserve"> </w:t>
      </w:r>
      <w:r>
        <w:t xml:space="preserve">its best member here—a vendor-independent reliability floor on objective tasks.</w:t>
      </w:r>
    </w:p>
    <w:p>
      <w:pPr>
        <w:pStyle w:val="BodyText"/>
        <w:jc w:val="both"/>
        <w:keepNext w:val="0"/>
        <w:keepLines w:val="0"/>
        <w:widowControl w:val="1"/>
      </w:pPr>
      <w:r>
        <w:t xml:space="preserve">Evaluation is a means to an end—</w:t>
      </w:r>
      <w:r>
        <w:rPr>
          <w:i/>
          <w:iCs/>
        </w:rPr>
        <w:t xml:space="preserve">ranking</w:t>
      </w:r>
      <w:r>
        <w:t xml:space="preserve"> </w:t>
      </w:r>
      <w:r>
        <w:t xml:space="preserve">candidate models for a use case—so we verify that CoEval</w:t>
      </w:r>
      <w:r>
        <w:t xml:space="preserve"> </w:t>
      </w:r>
      <w:r>
        <w:t xml:space="preserve">scores yield the correct ranking. Table 2 ranks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annotation—the core operation</w:t>
      </w:r>
      <w:r>
        <w:t xml:space="preserve"> </w:t>
      </w:r>
      <w:r>
        <w:t xml:space="preserve">the framework is built to make easy.</w:t>
      </w:r>
    </w:p>
    <w:p>
      <w:pPr>
        <w:pStyle w:val="TableCaption"/>
        <w:spacing w:before="160" w:after="60" w:line="240" w:lineRule="auto"/>
        <w:jc w:val="center"/>
        <w:keepNext/>
        <w:keepLines/>
        <w:widowControl w:val="1"/>
      </w:pPr>
      <w:r>
        <w:rPr>
          <w:b/>
          <w:bCs/>
        </w:rPr>
        <w:t xml:space="preserve">Table 2.</w:t>
      </w:r>
      <w:r>
        <w:t xml:space="preserve"> </w:t>
      </w:r>
      <w:r>
        <w:t xml:space="preserve">CoEval reproduces the ground-truth model ranking. Three student models ranked by</w:t>
      </w:r>
      <w:r>
        <w:t xml:space="preserve"> </w:t>
      </w:r>
      <w:r>
        <w:t xml:space="preserve">CoEval frontier-ensemble accuracy score (datapoint-clustered 95% CI) and by exact-match ground truth; the orderings</w:t>
      </w:r>
      <w:r>
        <w:t xml:space="preserve"> </w:t>
      </w:r>
      <w:r>
        <w:t xml:space="preserve">match.</w:t>
      </w:r>
    </w:p>
    <w:tbl>
      <w:tblPr>
        <w:tblStyle w:val="Table"/>
        <w:tblW w:type="pct" w:w="5000"/>
        <w:jc w:val="center"/>
        <w:tblLook w:firstRow="1" w:lastRow="0" w:firstColumn="0" w:lastColumn="0" w:noHBand="0" w:noVBand="0" w:val="0020"/>
        <w:tblCaption w:val="Table 2.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Model under evaluation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CoEval score [95% CI]</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Ground-truth accuracy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0.963 [0.937, 0.984]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 [0.880, 0.958]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llama-3.2-3b</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0.843 [0.791, 0.895]</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0.832</w:t>
            </w:r>
          </w:p>
        </w:tc>
      </w:tr>
    </w:tbl>
    <w:bookmarkEnd w:id="28"/>
    <w:bookmarkStart w:id="32" w:name="ensemble-reliability"/>
    <w:p>
      <w:pPr>
        <w:pStyle w:val="Heading3"/>
        <w:keepNext/>
        <w:keepLines/>
        <w:widowControl w:val="1"/>
      </w:pPr>
      <w:r>
        <w:t xml:space="preserve">5.2 Ensemble reliability</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of Section 3.4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indiscriminately adding low-agreement judges lowers the mean inter-rater correlation</w:t>
      </w:r>
      <w:r>
        <w:t xml:space="preserve"> </w:t>
      </w:r>
      <m:oMath>
        <m:acc>
          <m:accPr>
            <m:chr m:val="‾"/>
          </m:accPr>
          <m:e>
            <m:r>
              <m:t>r</m:t>
            </m:r>
          </m:e>
        </m:acc>
      </m:oMath>
      <w:r>
        <w:t xml:space="preserve"> </w:t>
      </w:r>
      <w:r>
        <w:t xml:space="preserve">faster than averaging can compensate, so</w:t>
      </w:r>
      <w:r>
        <w:t xml:space="preserve"> </w:t>
      </w:r>
      <m:oMath>
        <m:sSub>
          <m:e>
            <m:r>
              <m:t>R</m:t>
            </m:r>
          </m:e>
          <m:sub>
            <m:r>
              <m:t>k</m:t>
            </m:r>
          </m:sub>
        </m:sSub>
      </m:oMath>
      <w:r>
        <w:t xml:space="preserve"> </w:t>
      </w:r>
      <w:r>
        <w:t xml:space="preserve">in the Spearman–Brown relation can fall. CoEval's</w:t>
      </w:r>
      <w:r>
        <w:t xml:space="preserve"> </w:t>
      </w:r>
      <w:r>
        <w:t xml:space="preserve">consensus criterion identifies and retains the high-agreement judges, delivering the reliable configuration</w:t>
      </w:r>
      <w:r>
        <w:t xml:space="preserve"> </w:t>
      </w:r>
      <w:r>
        <w:t xml:space="preserve">automatically. In other words, the framework converts the panel-composition problem — which would otherwise</w:t>
      </w:r>
      <w:r>
        <w:t xml:space="preserve"> </w:t>
      </w:r>
      <w:r>
        <w:t xml:space="preserve">degrade a naive ensemble —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As an expected stability check (not an independent result),</w:t>
      </w:r>
      <w:r>
        <w:t xml:space="preserve"> </w:t>
      </w:r>
      <w:r>
        <w:t xml:space="preserve">the</w:t>
      </w:r>
      <w:r>
        <w:t xml:space="preserve"> </w:t>
      </w:r>
      <m:oMath>
        <m:r>
          <m:t>k</m:t>
        </m:r>
      </m:oMath>
      <w:r>
        <w:t xml:space="preserve">-judge ensemble's rank-agreement with the full-panel consensus rises with</w:t>
      </w:r>
      <w:r>
        <w:t xml:space="preserve"> </w:t>
      </w:r>
      <m:oMath>
        <m:r>
          <m:t>k</m:t>
        </m:r>
      </m:oMath>
      <w:r>
        <w:t xml:space="preserve"> </w:t>
      </w:r>
      <w:r>
        <w:t xml:space="preserve">(Spearman</w:t>
      </w:r>
      <w:r>
        <w:t xml:space="preserve"> </w:t>
      </w:r>
      <m:oMath>
        <m:r>
          <m:t>ρ</m:t>
        </m:r>
      </m:oMath>
      <w:r>
        <w:t xml:space="preserve">: $0.67, 0.74,</w:t>
      </w:r>
      <w:r>
        <w:t xml:space="preserve"> </w:t>
      </w:r>
      <w:r>
        <w:t xml:space="preserve">0.93, 1.00</w:t>
      </w:r>
      <m:oMath>
        <m:r>
          <m:rPr>
            <m:sty m:val="p"/>
          </m:rPr>
          <m:t>)</m:t>
        </m:r>
        <m:r>
          <m:rPr>
            <m:sty m:val="p"/>
          </m:rPr>
          <m:t>;</m:t>
        </m:r>
        <m:r>
          <m:t>c</m:t>
        </m:r>
        <m:r>
          <m:t>o</m:t>
        </m:r>
        <m:r>
          <m:t>n</m:t>
        </m:r>
        <m:r>
          <m:t>v</m:t>
        </m:r>
        <m:r>
          <m:t>e</m:t>
        </m:r>
        <m:r>
          <m:t>r</m:t>
        </m:r>
        <m:r>
          <m:t>g</m:t>
        </m:r>
        <m:r>
          <m:t>e</m:t>
        </m:r>
        <m:r>
          <m:t>n</m:t>
        </m:r>
        <m:r>
          <m:t>c</m:t>
        </m:r>
        <m:r>
          <m:t>e</m:t>
        </m:r>
        <m:r>
          <m:t>t</m:t>
        </m:r>
        <m:r>
          <m:t>o</m:t>
        </m:r>
      </m:oMath>
      <w:r>
        <w:t xml:space="preserve">1.00$ holds by construction and simply confirms that a small selected panel already</w:t>
      </w:r>
      <w:r>
        <w:t xml:space="preserve"> </w:t>
      </w:r>
      <w:r>
        <w:t xml:space="preserve">recovers most of the full-panel ordering.</w:t>
      </w:r>
    </w:p>
    <w:p>
      <w:pPr>
        <w:pStyle w:val="BodyText"/>
        <w:jc w:val="center"/>
        <w:keepNext/>
        <w:keepLines/>
        <w:widowControl w:val="1"/>
      </w:pPr>
      <w:r>
        <w:drawing>
          <wp:inline>
            <wp:extent cx="4815840" cy="3169920"/>
            <wp:effectExtent b="0" l="0" r="0" t="0"/>
            <wp:docPr descr="ICC(3,k) versus number of judges, peaking at the selected strong panel" title="" id="30" name="Picture"/>
            <a:graphic>
              <a:graphicData uri="http://schemas.openxmlformats.org/drawingml/2006/picture">
                <pic:pic>
                  <pic:nvPicPr>
                    <pic:cNvPr descr="figures/f2_icc_curve.png" id="31" name="Picture"/>
                    <pic:cNvPicPr>
                      <a:picLocks noChangeArrowheads="1" noChangeAspect="1"/>
                    </pic:cNvPicPr>
                  </pic:nvPicPr>
                  <pic:blipFill>
                    <a:blip r:embed="rId29"/>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3.</w:t>
      </w:r>
      <w:r>
        <w:t xml:space="preserve"> </w:t>
      </w:r>
      <w:r>
        <w:t xml:space="preserve">Composition over size. Average-measures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w:t>
      </w:r>
      <w:r>
        <w:t xml:space="preserve"> </w:t>
      </w:r>
      <w:r>
        <w:t xml:space="preserve">judges are added in descending agreement order. A selected strong panel reaches</w:t>
      </w:r>
      <w:r>
        <w:t xml:space="preserve"> </w:t>
      </w:r>
      <m:oMath>
        <m:r>
          <m:rPr>
            <m:sty m:val="p"/>
          </m:rPr>
          <m:t>I</m:t>
        </m:r>
        <m:r>
          <m:rPr>
            <m:sty m:val="p"/>
          </m:rPr>
          <m:t>C</m:t>
        </m:r>
        <m:r>
          <m:rPr>
            <m:sty m:val="p"/>
          </m:rPr>
          <m:t>C</m:t>
        </m:r>
        <m:r>
          <m:rPr>
            <m:sty m:val="p"/>
          </m:rPr>
          <m:t>=</m:t>
        </m:r>
        <m:r>
          <m:t>0.70</m:t>
        </m:r>
      </m:oMath>
      <w:r>
        <w:t xml:space="preserve">; indiscriminately</w:t>
      </w:r>
      <w:r>
        <w:t xml:space="preserve"> </w:t>
      </w:r>
      <w:r>
        <w:t xml:space="preserve">adding low-agreement judges lowers the mean inter-rater correlation faster than averaging compensates, so reliability</w:t>
      </w:r>
      <w:r>
        <w:t xml:space="preserve"> </w:t>
      </w:r>
      <w:r>
        <w:t xml:space="preserve">falls. CoEval's consensus selection retains the high-agreement judges, delivering the reliable configuration</w:t>
      </w:r>
      <w:r>
        <w:t xml:space="preserve"> </w:t>
      </w:r>
      <w:r>
        <w:t xml:space="preserve">automatically.</w:t>
      </w:r>
    </w:p>
    <w:p>
      <w:pPr>
        <w:pStyle w:val="BodyText"/>
        <w:jc w:val="both"/>
        <w:keepNext w:val="0"/>
        <w:keepLines w:val="0"/>
        <w:widowControl w:val="1"/>
      </w:pPr>
      <w:r>
        <w:rPr>
          <w:b/>
          <w:bCs/>
        </w:rPr>
        <w:t xml:space="preserve">Finding (composition over size).</w:t>
      </w:r>
      <w:r>
        <w:t xml:space="preserve"> </w:t>
      </w:r>
      <w:r>
        <w:t xml:space="preserve">Average-measures reliability is non-monotone in panel size:</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peaks at</w:t>
      </w:r>
      <w:r>
        <w:t xml:space="preserve"> </w:t>
      </w:r>
      <m:oMath>
        <m:r>
          <m:t>0.70</m:t>
        </m:r>
      </m:oMath>
      <w:r>
        <w:t xml:space="preserve"> </w:t>
      </w:r>
      <w:r>
        <w:t xml:space="preserve">for a selected strong pair and</w:t>
      </w:r>
      <w:r>
        <w:t xml:space="preserve"> </w:t>
      </w:r>
      <w:r>
        <w:rPr>
          <w:i/>
          <w:iCs/>
        </w:rPr>
        <w:t xml:space="preserve">falls</w:t>
      </w:r>
      <w:r>
        <w:t xml:space="preserve"> </w:t>
      </w:r>
      <w:r>
        <w:t xml:space="preserve">to</w:t>
      </w:r>
      <w:r>
        <w:t xml:space="preserve"> </w:t>
      </w:r>
      <m:oMath>
        <m:r>
          <m:t>0.40</m:t>
        </m:r>
      </m:oMath>
      <w:r>
        <w:t xml:space="preserve"> </w:t>
      </w:r>
      <w:r>
        <w:t xml:space="preserve">as low-agreement judges</w:t>
      </w:r>
      <w:r>
        <w:t xml:space="preserve"> </w:t>
      </w:r>
      <w:r>
        <w:t xml:space="preserve">are added, matching the Spearman–Brown prediction exactly. Ensemble</w:t>
      </w:r>
      <w:r>
        <w:t xml:space="preserve"> </w:t>
      </w:r>
      <w:r>
        <w:rPr>
          <w:i/>
          <w:iCs/>
        </w:rPr>
        <w:t xml:space="preserve">composition</w:t>
      </w:r>
      <w:r>
        <w:t xml:space="preserve">, not size, is the</w:t>
      </w:r>
      <w:r>
        <w:t xml:space="preserve"> </w:t>
      </w:r>
      <w:r>
        <w:t xml:space="preserve">decisive reliability lever; CoEval's consensus selection retains the high-agreement judges automatically.</w:t>
      </w:r>
    </w:p>
    <w:bookmarkEnd w:id="32"/>
    <w:bookmarkStart w:id="36" w:name="bias-cancellation"/>
    <w:p>
      <w:pPr>
        <w:pStyle w:val="Heading3"/>
        <w:keepNext/>
        <w:keepLines/>
        <w:widowControl w:val="1"/>
      </w:pPr>
      <w:r>
        <w:t xml:space="preserve">5.3 Bias cancellation</w:t>
      </w:r>
    </w:p>
    <w:p>
      <w:pPr>
        <w:pStyle w:val="FirstParagraph"/>
        <w:jc w:val="both"/>
        <w:keepNext w:val="0"/>
        <w:keepLines w:val="0"/>
        <w:widowControl w:val="1"/>
      </w:pPr>
      <w:r>
        <w:t xml:space="preserve">We test whether CoEval's ensemble cancels verbosity bias — the tendency to reward longer responses — on</w:t>
      </w:r>
      <w:r>
        <w:t xml:space="preserve"> </w:t>
      </w:r>
      <w:r>
        <w:t xml:space="preserve">the four-task</w:t>
      </w:r>
      <w:r>
        <w:t xml:space="preserve"> </w:t>
      </w:r>
      <w:r>
        <w:rPr>
          <w:rStyle w:val="VerbatimChar"/>
        </w:rPr>
        <w:t xml:space="preserve">medium-benchmark</w:t>
      </w:r>
      <w:r>
        <w:t xml:space="preserve"> </w:t>
      </w:r>
      <w:r>
        <w:t xml:space="preserve">run, whose judge panel is</w:t>
      </w:r>
      <w:r>
        <w:t xml:space="preserve"> </w:t>
      </w:r>
      <w:r>
        <w:rPr>
          <w:rStyle w:val="VerbatimChar"/>
        </w:rPr>
        <w:t xml:space="preserve">gpt-4o-mini</w:t>
      </w:r>
      <w:r>
        <w:t xml:space="preserve"> </w:t>
      </w:r>
      <w:r>
        <w:t xml:space="preserve">and</w:t>
      </w:r>
      <w:r>
        <w:t xml:space="preserve"> </w:t>
      </w:r>
      <w:r>
        <w:rPr>
          <w:rStyle w:val="VerbatimChar"/>
        </w:rPr>
        <w:t xml:space="preserve">gpt-3.5-turbo</w:t>
      </w:r>
      <w:r>
        <w:t xml:space="preserve"> </w:t>
      </w:r>
      <w:r>
        <w:t xml:space="preserve">(OpenAI) together with</w:t>
      </w:r>
      <w:r>
        <w:t xml:space="preserve"> </w:t>
      </w:r>
      <w:r>
        <w:rPr>
          <w:rStyle w:val="VerbatimChar"/>
        </w:rPr>
        <w:t xml:space="preserve">qwen2.5-1.5b</w:t>
      </w:r>
      <w:r>
        <w:t xml:space="preserve"> </w:t>
      </w:r>
      <w:r>
        <w:t xml:space="preserve">and</w:t>
      </w:r>
      <w:r>
        <w:t xml:space="preserve"> </w:t>
      </w:r>
      <w:r>
        <w:rPr>
          <w:rStyle w:val="VerbatimChar"/>
        </w:rPr>
        <w:t xml:space="preserve">smollm2-1.7b</w:t>
      </w:r>
      <w:r>
        <w:t xml:space="preserve"> </w:t>
      </w:r>
      <w:r>
        <w:t xml:space="preserve">(open-weight).</w:t>
      </w:r>
      <w:r>
        <w:t xml:space="preserve"> </w:t>
      </w:r>
      <w:r>
        <w:t xml:space="preserve">For each judge we compute the Pearson correlation between response length and assigned score. Individual judges carry</w:t>
      </w:r>
      <w:r>
        <w:t xml:space="preserve"> </w:t>
      </w:r>
      <w:r>
        <w:t xml:space="preserve">length biases of</w:t>
      </w:r>
      <w:r>
        <w:t xml:space="preserve"> </w:t>
      </w:r>
      <w:r>
        <w:rPr>
          <w:i/>
          <w:iCs/>
        </w:rPr>
        <w:t xml:space="preserve">mixed sign</w:t>
      </w:r>
      <w:r>
        <w:t xml:space="preserve">:</w:t>
      </w:r>
      <w:r>
        <w:t xml:space="preserve"> </w:t>
      </w:r>
      <w:r>
        <w:rPr>
          <w:rStyle w:val="VerbatimChar"/>
        </w:rPr>
        <w:t xml:space="preserve">gpt-3.5-turbo</w:t>
      </w:r>
      <w:r>
        <w:t xml:space="preserve"> </w:t>
      </w:r>
      <w:r>
        <w:t xml:space="preserve">shows</w:t>
      </w:r>
      <w:r>
        <w:t xml:space="preserve"> </w:t>
      </w:r>
      <m:oMath>
        <m:r>
          <m:t>r</m:t>
        </m:r>
        <m:r>
          <m:rPr>
            <m:sty m:val="p"/>
          </m:rPr>
          <m:t>=</m:t>
        </m:r>
        <m:r>
          <m:rPr>
            <m:sty m:val="p"/>
          </m:rPr>
          <m:t>−</m:t>
        </m:r>
        <m:r>
          <m:t>0.177</m:t>
        </m:r>
      </m:oMath>
      <w:r>
        <w:t xml:space="preserve"> </w:t>
      </w:r>
      <w:r>
        <w:t xml:space="preserve">(penalizing length), while</w:t>
      </w:r>
      <w:r>
        <w:t xml:space="preserve"> </w:t>
      </w:r>
      <w:r>
        <w:rPr>
          <w:rStyle w:val="VerbatimChar"/>
        </w:rPr>
        <w:t xml:space="preserve">smollm2-1.7b</w:t>
      </w:r>
      <w:r>
        <w:t xml:space="preserve"> </w:t>
      </w:r>
      <w:r>
        <w:t xml:space="preserve">shows</w:t>
      </w:r>
      <w:r>
        <w:t xml:space="preserve"> </w:t>
      </w:r>
      <m:oMath>
        <m:r>
          <m:t>r</m:t>
        </m:r>
        <m:r>
          <m:rPr>
            <m:sty m:val="p"/>
          </m:rPr>
          <m:t>=</m:t>
        </m:r>
        <m:r>
          <m:rPr>
            <m:sty m:val="p"/>
          </m:rPr>
          <m:t>+</m:t>
        </m:r>
        <m:r>
          <m:t>0.234</m:t>
        </m:r>
      </m:oMath>
      <w:r>
        <w:t xml:space="preserve"> </w:t>
      </w:r>
      <w:r>
        <w:t xml:space="preserve">(rewarding length); across the panel the mean absolute bias is</w:t>
      </w:r>
      <w:r>
        <w:t xml:space="preserve"> </w:t>
      </w:r>
      <m:oMath>
        <m:bar>
          <m:barPr>
            <m:pos m:val="top"/>
          </m:barPr>
          <m:e>
            <m:r>
              <m:rPr>
                <m:sty m:val="p"/>
              </m:rPr>
              <m:t>|</m:t>
            </m:r>
            <m:r>
              <m:t>r</m:t>
            </m:r>
            <m:r>
              <m:rPr>
                <m:sty m:val="p"/>
              </m:rPr>
              <m:t>|</m:t>
            </m:r>
          </m:e>
        </m:bar>
        <m:r>
          <m:rPr>
            <m:sty m:val="p"/>
          </m:rPr>
          <m:t>=</m:t>
        </m:r>
        <m:r>
          <m:t>0.153</m:t>
        </m:r>
      </m:oMath>
      <w:r>
        <w:t xml:space="preserve">. No single judge is length-neutral.</w:t>
      </w:r>
    </w:p>
    <w:p>
      <w:pPr>
        <w:pStyle w:val="BodyText"/>
        <w:jc w:val="both"/>
        <w:keepNext w:val="0"/>
        <w:keepLines w:val="0"/>
        <w:widowControl w:val="1"/>
      </w:pPr>
      <w:r>
        <w:t xml:space="preserve">The cancellation mechanism is the</w:t>
      </w:r>
      <w:r>
        <w:t xml:space="preserve"> </w:t>
      </w:r>
      <w:r>
        <w:rPr>
          <w:i/>
          <w:iCs/>
        </w:rPr>
        <w:t xml:space="preserve">mixed sign</w:t>
      </w:r>
      <w:r>
        <w:t xml:space="preserve"> </w:t>
      </w:r>
      <w:r>
        <w:t xml:space="preserve">of these biases under averaging, which a diverse panel supplies.</w:t>
      </w:r>
      <w:r>
        <w:t xml:space="preserve"> </w:t>
      </w:r>
      <w:r>
        <w:t xml:space="preserve">We note a confound shared with self-preference (Section 5.4): in this panel, sign-diversity is correlated with</w:t>
      </w:r>
      <w:r>
        <w:t xml:space="preserve"> </w:t>
      </w:r>
      <w:r>
        <w:t xml:space="preserve">both vendor family and model capability (the strong OpenAI judges penalize length; the small open-weight judges reward</w:t>
      </w:r>
      <w:r>
        <w:t xml:space="preserve"> </w:t>
      </w:r>
      <w:r>
        <w:t xml:space="preserve">it), so we attribute the cancellation to bias-sign diversity rather than to vendor family</w:t>
      </w:r>
      <w:r>
        <w:t xml:space="preserve"> </w:t>
      </w:r>
      <w:r>
        <w:rPr>
          <w:i/>
          <w:iCs/>
        </w:rPr>
        <w:t xml:space="preserve">per se</w:t>
      </w:r>
      <w:r>
        <w:t xml:space="preserve">. The</w:t>
      </w:r>
      <w:r>
        <w:t xml:space="preserve"> </w:t>
      </w:r>
      <w:r>
        <w:t xml:space="preserve">practical recipe is the same—assemble judges whose idiosyncratic biases are unlikely to align—and vendor</w:t>
      </w:r>
      <w:r>
        <w:t xml:space="preserve"> </w:t>
      </w:r>
      <w:r>
        <w:t xml:space="preserve">diversity is a convenient, observable proxy for it.</w:t>
      </w:r>
    </w:p>
    <w:p>
      <w:pPr>
        <w:pStyle w:val="BodyText"/>
        <w:jc w:val="both"/>
        <w:keepNext w:val="0"/>
        <w:keepLines w:val="0"/>
        <w:widowControl w:val="1"/>
      </w:pPr>
      <w:r>
        <w:t xml:space="preserve">The</w:t>
      </w:r>
      <w:r>
        <w:t xml:space="preserve"> </w:t>
      </w:r>
      <w:r>
        <w:rPr>
          <w:b/>
          <w:bCs/>
        </w:rPr>
        <w:t xml:space="preserve">ensemble</w:t>
      </w:r>
      <w:r>
        <w:t xml:space="preserve"> </w:t>
      </w:r>
      <w:r>
        <w:t xml:space="preserve">correlation between length and score is</w:t>
      </w:r>
      <w:r>
        <w:t xml:space="preserve"> </w:t>
      </w:r>
      <m:oMath>
        <m:r>
          <m:t>r</m:t>
        </m:r>
        <m:r>
          <m:rPr>
            <m:sty m:val="p"/>
          </m:rPr>
          <m:t>=</m:t>
        </m:r>
        <m:r>
          <m:rPr>
            <m:sty m:val="p"/>
          </m:rPr>
          <m:t>+</m:t>
        </m:r>
        <m:r>
          <m:t>0.010</m:t>
        </m:r>
      </m:oMath>
      <w:r>
        <w:t xml:space="preserve">, with a 95% bootstrap confidence</w:t>
      </w:r>
      <w:r>
        <w:t xml:space="preserve"> </w:t>
      </w:r>
      <w:r>
        <w:t xml:space="preserve">interval of</w:t>
      </w:r>
      <w:r>
        <w:t xml:space="preserve"> </w:t>
      </w:r>
      <m:oMath>
        <m:r>
          <m:rPr>
            <m:sty m:val="p"/>
          </m:rPr>
          <m:t>[</m:t>
        </m:r>
        <m:r>
          <m:rPr>
            <m:sty m:val="p"/>
          </m:rPr>
          <m:t>−</m:t>
        </m:r>
        <m:r>
          <m:t>0.039</m:t>
        </m:r>
        <m:r>
          <m:rPr>
            <m:sty m:val="p"/>
          </m:rPr>
          <m:t>,</m:t>
        </m:r>
        <m:r>
          <m:t> </m:t>
        </m:r>
        <m:r>
          <m:rPr>
            <m:sty m:val="p"/>
          </m:rPr>
          <m:t>+</m:t>
        </m:r>
        <m:r>
          <m:t>0.057</m:t>
        </m:r>
        <m:r>
          <m:rPr>
            <m:sty m:val="p"/>
          </m:rPr>
          <m:t>]</m:t>
        </m:r>
      </m:oMath>
      <w:r>
        <w:t xml:space="preserve"> </w:t>
      </w:r>
      <w:r>
        <w:t xml:space="preserve">that</w:t>
      </w:r>
      <w:r>
        <w:t xml:space="preserve"> </w:t>
      </w:r>
      <w:r>
        <w:rPr>
          <w:i/>
          <w:iCs/>
        </w:rPr>
        <w:t xml:space="preserve">includes zero</w:t>
      </w:r>
      <w:r>
        <w:t xml:space="preserve"> </w:t>
      </w:r>
      <w:r>
        <w:t xml:space="preserve">— a 93% reduction in length-bias magnitude relative</w:t>
      </w:r>
      <w:r>
        <w:t xml:space="preserve"> </w:t>
      </w:r>
      <w:r>
        <w:t xml:space="preserve">to the per-judge mean. The mixed-sign individual biases cancel under the averaging of</w:t>
      </w:r>
      <w:r>
        <w:t xml:space="preserve"> </w:t>
      </w:r>
      <m:oMath>
        <m:sSub>
          <m:e>
            <m:acc>
              <m:accPr>
                <m:chr m:val="‾"/>
              </m:accPr>
              <m:e>
                <m:r>
                  <m:t>s</m:t>
                </m:r>
              </m:e>
            </m:acc>
          </m:e>
          <m:sub>
            <m:r>
              <m:t>i</m:t>
            </m:r>
          </m:sub>
        </m:sSub>
      </m:oMath>
      <w:r>
        <w:t xml:space="preserve">, leaving an aggregate</w:t>
      </w:r>
      <w:r>
        <w:t xml:space="preserve"> </w:t>
      </w:r>
      <w:r>
        <w:t xml:space="preserve">score that is statistically indistinguishable from length-neutral.</w:t>
      </w:r>
    </w:p>
    <w:p>
      <w:pPr>
        <w:pStyle w:val="TableCaption"/>
        <w:spacing w:before="160" w:after="60" w:line="240" w:lineRule="auto"/>
        <w:jc w:val="center"/>
        <w:keepNext/>
        <w:keepLines/>
        <w:widowControl w:val="1"/>
      </w:pPr>
      <w:r>
        <w:rPr>
          <w:b/>
          <w:bCs/>
        </w:rPr>
        <w:t xml:space="preserve">Table 3.</w:t>
      </w:r>
      <w:r>
        <w:t xml:space="preserve"> </w:t>
      </w:r>
      <w:r>
        <w:t xml:space="preserve">Verbosity bias (Pearson</w:t>
      </w:r>
      <w:r>
        <w:t xml:space="preserve"> </w:t>
      </w:r>
      <m:oMath>
        <m:r>
          <m:t>r</m:t>
        </m:r>
      </m:oMath>
      <w:r>
        <w:t xml:space="preserve"> </w:t>
      </w:r>
      <w:r>
        <w:t xml:space="preserve">between response length and score) for representative</w:t>
      </w:r>
      <w:r>
        <w:t xml:space="preserve"> </w:t>
      </w:r>
      <w:r>
        <w:t xml:space="preserve">individual judges versus the CoEval ensemble. The ensemble CI includes zero.</w:t>
      </w:r>
    </w:p>
    <w:tbl>
      <w:tblPr>
        <w:tblStyle w:val="Table"/>
        <w:tblW w:type="pct" w:w="5000"/>
        <w:jc w:val="center"/>
        <w:tblLook w:firstRow="1" w:lastRow="0" w:firstColumn="0" w:lastColumn="0" w:noHBand="0" w:noVBand="0" w:val="0020"/>
        <w:tblCaption w:val="Table 3. Verbosity bias (Pearson r between response length and score) for representative individual judges versus the CoEval ensemble. The ensemble CI includes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Judge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Length-bias</w:t>
            </w:r>
            <w:r>
              <w:rPr>
                <w:rFonts w:ascii="Times New Roman" w:hAnsi="Times New Roman"/>
                <w:b/>
                <w:sz w:val="19"/>
              </w:rPr>
              <w:t xml:space="preserve"> </w:t>
            </w:r>
            <m:oMath>
              <m:r>
                <m:t>r</m:t>
              </m:r>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95% bootstrap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SmolLM2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Panel mean</w:t>
            </w:r>
            <w:r>
              <w:rPr>
                <w:rFonts w:ascii="Times New Roman" w:hAnsi="Times New Roman"/>
                <w:sz w:val="20"/>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CoEval ensemble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[−0.039, +0.057]</w:t>
            </w:r>
          </w:p>
        </w:tc>
      </w:tr>
    </w:tbl>
    <w:p>
      <w:pPr>
        <w:pStyle w:val="BodyText"/>
        <w:jc w:val="center"/>
        <w:keepNext/>
        <w:keepLines/>
        <w:widowControl w:val="1"/>
      </w:pPr>
      <w:r>
        <w:drawing>
          <wp:inline>
            <wp:extent cx="5163312" cy="2987040"/>
            <wp:effectExtent b="0" l="0" r="0" t="0"/>
            <wp:docPr descr="Forest plot of per-judge length-bias correlations with the ensemble near zero" title="" id="34" name="Picture"/>
            <a:graphic>
              <a:graphicData uri="http://schemas.openxmlformats.org/drawingml/2006/picture">
                <pic:pic>
                  <pic:nvPicPr>
                    <pic:cNvPr descr="figures/f3_verbosity_forest.png" id="35" name="Picture"/>
                    <pic:cNvPicPr>
                      <a:picLocks noChangeArrowheads="1" noChangeAspect="1"/>
                    </pic:cNvPicPr>
                  </pic:nvPicPr>
                  <pic:blipFill>
                    <a:blip r:embed="rId33"/>
                    <a:stretch>
                      <a:fillRect/>
                    </a:stretch>
                  </pic:blipFill>
                  <pic:spPr bwMode="auto">
                    <a:xfrm>
                      <a:off x="0" y="0"/>
                      <a:ext cx="516331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4.</w:t>
      </w:r>
      <w:r>
        <w:t xml:space="preserve"> </w:t>
      </w:r>
      <w:r>
        <w:t xml:space="preserve">Verbosity bias by judge. Each judge's Pearson correlation between response</w:t>
      </w:r>
      <w:r>
        <w:t xml:space="preserve"> </w:t>
      </w:r>
      <w:r>
        <w:t xml:space="preserve">length and score (point) with its 95% bootstrap CI; the ensemble (green) sits at</w:t>
      </w:r>
      <w:r>
        <w:t xml:space="preserve"> </w:t>
      </w:r>
      <m:oMath>
        <m:r>
          <m:t>r</m:t>
        </m:r>
        <m:r>
          <m:rPr>
            <m:sty m:val="p"/>
          </m:rPr>
          <m:t>=</m:t>
        </m:r>
        <m:r>
          <m:rPr>
            <m:sty m:val="p"/>
          </m:rPr>
          <m:t>+</m:t>
        </m:r>
        <m:r>
          <m:t>0.010</m:t>
        </m:r>
      </m:oMath>
      <w:r>
        <w:t xml:space="preserve"> </w:t>
      </w:r>
      <w:r>
        <w:t xml:space="preserve">with a CI spanning zero.</w:t>
      </w:r>
      <w:r>
        <w:t xml:space="preserve"> </w:t>
      </w:r>
      <w:r>
        <w:t xml:space="preserve">Mixed-sign per-judge biases cancel under averaging.</w:t>
      </w:r>
    </w:p>
    <w:p>
      <w:pPr>
        <w:pStyle w:val="BodyText"/>
        <w:jc w:val="both"/>
        <w:keepNext w:val="0"/>
        <w:keepLines w:val="0"/>
        <w:widowControl w:val="1"/>
      </w:pPr>
      <w:r>
        <w:rPr>
          <w:b/>
          <w:bCs/>
        </w:rPr>
        <w:t xml:space="preserve">Finding (bias cancellation).</w:t>
      </w:r>
      <w:r>
        <w:t xml:space="preserve"> </w:t>
      </w:r>
      <w:r>
        <w:t xml:space="preserve">The ensemble removes a verbosity bias that no single judge avoids:</w:t>
      </w:r>
      <w:r>
        <w:t xml:space="preserve"> </w:t>
      </w:r>
      <w:r>
        <w:t xml:space="preserve">mean per-judge</w:t>
      </w:r>
      <w:r>
        <w:t xml:space="preserve"> </w:t>
      </w:r>
      <m:oMath>
        <m:r>
          <m:rPr>
            <m:sty m:val="p"/>
          </m:rPr>
          <m:t>|</m:t>
        </m:r>
        <m:r>
          <m:t>r</m:t>
        </m:r>
        <m:r>
          <m:rPr>
            <m:sty m:val="p"/>
          </m:rPr>
          <m:t>|</m:t>
        </m:r>
        <m:r>
          <m:rPr>
            <m:sty m:val="p"/>
          </m:rPr>
          <m:t>=</m:t>
        </m:r>
        <m:r>
          <m:t>0.153</m:t>
        </m:r>
      </m:oMath>
      <w:r>
        <w:t xml:space="preserve"> </w:t>
      </w:r>
      <w:r>
        <w:t xml:space="preserve">collapses to an ensemble</w:t>
      </w:r>
      <w:r>
        <w:t xml:space="preserve"> </w:t>
      </w:r>
      <m:oMath>
        <m:r>
          <m:t>r</m:t>
        </m:r>
        <m:r>
          <m:rPr>
            <m:sty m:val="p"/>
          </m:rPr>
          <m:t>=</m:t>
        </m:r>
        <m:r>
          <m:rPr>
            <m:sty m:val="p"/>
          </m:rPr>
          <m:t>+</m:t>
        </m:r>
        <m:r>
          <m:t>0.010</m:t>
        </m:r>
      </m:oMath>
      <w:r>
        <w:t xml:space="preserve"> </w:t>
      </w:r>
      <w:r>
        <w:t xml:space="preserve">whose 95% CI</w:t>
      </w:r>
      <w:r>
        <w:t xml:space="preserve"> </w:t>
      </w:r>
      <m:oMath>
        <m:r>
          <m:rPr>
            <m:sty m:val="p"/>
          </m:rPr>
          <m:t>[</m:t>
        </m:r>
        <m:r>
          <m:rPr>
            <m:sty m:val="p"/>
          </m:rPr>
          <m:t>−</m:t>
        </m:r>
        <m:r>
          <m:t>0.039</m:t>
        </m:r>
        <m:r>
          <m:rPr>
            <m:sty m:val="p"/>
          </m:rPr>
          <m:t>,</m:t>
        </m:r>
        <m:r>
          <m:rPr>
            <m:sty m:val="p"/>
          </m:rPr>
          <m:t>+</m:t>
        </m:r>
        <m:r>
          <m:t>0.057</m:t>
        </m:r>
        <m:r>
          <m:rPr>
            <m:sty m:val="p"/>
          </m:rPr>
          <m:t>]</m:t>
        </m:r>
      </m:oMath>
      <w:r>
        <w:t xml:space="preserve"> </w:t>
      </w:r>
      <w:r>
        <w:t xml:space="preserve">contains zero, a</w:t>
      </w:r>
      <w:r>
        <w:t xml:space="preserve"> </w:t>
      </w:r>
      <w:r>
        <w:t xml:space="preserve">93% reduction.</w:t>
      </w:r>
    </w:p>
    <w:bookmarkEnd w:id="36"/>
    <w:bookmarkStart w:id="37" w:name="Xafb02bce621e02934ae814be540128cfed2d296"/>
    <w:p>
      <w:pPr>
        <w:pStyle w:val="Heading3"/>
        <w:keepNext/>
        <w:keepLines/>
        <w:widowControl w:val="1"/>
      </w:pPr>
      <w:r>
        <w:t xml:space="preserve">5.4 Cross-family self-preference: a design property</w:t>
      </w:r>
    </w:p>
    <w:p>
      <w:pPr>
        <w:pStyle w:val="FirstParagraph"/>
        <w:jc w:val="both"/>
        <w:keepNext w:val="0"/>
        <w:keepLines w:val="0"/>
        <w:widowControl w:val="1"/>
      </w:pPr>
      <w:r>
        <w:t xml:space="preserve">Recent work establishes that judge–generator relatedness inflates scores:</w:t>
      </w:r>
      <w:r>
        <w:t xml:space="preserve"> </w:t>
      </w:r>
      <w:r>
        <w:rPr>
          <w:i/>
          <w:iCs/>
        </w:rPr>
        <w:t xml:space="preserve">Preference Leakage</w:t>
      </w:r>
      <w:r>
        <w:t xml:space="preserve"> </w:t>
      </w:r>
      <w:hyperlink w:anchor="r15">
        <w:r>
          <w:rPr>
            <w:rStyle w:val="Hyperlink"/>
            <w:vertAlign w:val="superscript"/>
          </w:rPr>
          <w:t xml:space="preserve">[15]</w:t>
        </w:r>
      </w:hyperlink>
      <w:r>
        <w:t xml:space="preserve"> </w:t>
      </w:r>
      <w:r>
        <w:t xml:space="preserve">identifies same-model and same-family relatedness as a contamination vector, and</w:t>
      </w:r>
      <w:r>
        <w:t xml:space="preserve"> </w:t>
      </w:r>
      <w:r>
        <w:rPr>
          <w:i/>
          <w:iCs/>
        </w:rPr>
        <w:t xml:space="preserve">Play Favorites</w:t>
      </w:r>
      <w:r>
        <w:t xml:space="preserve"> </w:t>
      </w:r>
      <w:hyperlink w:anchor="r16">
        <w:r>
          <w:rPr>
            <w:rStyle w:val="Hyperlink"/>
            <w:vertAlign w:val="superscript"/>
          </w:rPr>
          <w:t xml:space="preserve">[16]</w:t>
        </w:r>
      </w:hyperlink>
      <w:r>
        <w:t xml:space="preserve"> </w:t>
      </w:r>
      <w:r>
        <w:t xml:space="preserve">measures frontier models favoring same-family outputs.</w:t>
      </w:r>
      <w:r>
        <w:t xml:space="preserve"> </w:t>
      </w:r>
      <w:r>
        <w:t xml:space="preserve">CoEval addresses this</w:t>
      </w:r>
      <w:r>
        <w:t xml:space="preserve"> </w:t>
      </w:r>
      <w:r>
        <w:rPr>
          <w:i/>
          <w:iCs/>
        </w:rPr>
        <w:t xml:space="preserve">structurally</w:t>
      </w:r>
      <w:r>
        <w:t xml:space="preserve">: by requiring the judge panel to be vendor-disjoint from the student under</w:t>
      </w:r>
      <w:r>
        <w:t xml:space="preserve"> </w:t>
      </w:r>
      <w:r>
        <w:t xml:space="preserve">test, it precludes a model from scoring its own family, eliminating the self-preference channel by design rather than</w:t>
      </w:r>
      <w:r>
        <w:t xml:space="preserve"> </w:t>
      </w:r>
      <w:r>
        <w:t xml:space="preserve">by post-hoc correction. A preliminary re-analysis is consistent with the effect—a model is rated</w:t>
      </w:r>
      <w:r>
        <w:t xml:space="preserve"> </w:t>
      </w:r>
      <m:oMath>
        <m:r>
          <m:rPr>
            <m:sty m:val="p"/>
          </m:rPr>
          <m:t>≈</m:t>
        </m:r>
        <m:r>
          <m:t>0.09</m:t>
        </m:r>
      </m:oMath>
      <w:r>
        <w:t xml:space="preserve"> </w:t>
      </w:r>
      <w:r>
        <w:t xml:space="preserve">higher (normalized</w:t>
      </w:r>
      <w:r>
        <w:t xml:space="preserve"> </w:t>
      </w:r>
      <m:oMath>
        <m:r>
          <m:rPr>
            <m:sty m:val="p"/>
          </m:rPr>
          <m:t>[</m:t>
        </m:r>
        <m:r>
          <m:t>0</m:t>
        </m:r>
        <m:r>
          <m:rPr>
            <m:sty m:val="p"/>
          </m:rPr>
          <m:t>,</m:t>
        </m:r>
        <m:r>
          <m:t>1</m:t>
        </m:r>
        <m:r>
          <m:rPr>
            <m:sty m:val="p"/>
          </m:rPr>
          <m:t>]</m:t>
        </m:r>
      </m:oMath>
      <w:r>
        <w:t xml:space="preserve">) by same-family than by out-of-family judges—though in that panel the out-of-family</w:t>
      </w:r>
      <w:r>
        <w:t xml:space="preserve"> </w:t>
      </w:r>
      <w:r>
        <w:t xml:space="preserve">judges are also smaller models, so this figure conflates family with capability and is reported as indicative only.</w:t>
      </w:r>
      <w:r>
        <w:t xml:space="preserve"> </w:t>
      </w:r>
      <w:r>
        <w:t xml:space="preserve">A controlled measurement holding judge capability fixed across</w:t>
      </w:r>
      <w:r>
        <w:t xml:space="preserve"> </w:t>
      </w:r>
      <m:oMath>
        <m:r>
          <m:rPr>
            <m:sty m:val="p"/>
          </m:rPr>
          <m:t>≥</m:t>
        </m:r>
        <m:r>
          <m:t>3</m:t>
        </m:r>
      </m:oMath>
      <w:r>
        <w:t xml:space="preserve"> </w:t>
      </w:r>
      <w:r>
        <w:t xml:space="preserve">families (the protocol of [16]) is the natural</w:t>
      </w:r>
      <w:r>
        <w:t xml:space="preserve"> </w:t>
      </w:r>
      <w:r>
        <w:t xml:space="preserve">validation and is left to future work; the design guarantee itself does not depend on it.</w:t>
      </w:r>
    </w:p>
    <w:p>
      <w:pPr>
        <w:pStyle w:val="BodyText"/>
        <w:jc w:val="both"/>
        <w:keepNext w:val="0"/>
        <w:keepLines w:val="0"/>
        <w:widowControl w:val="1"/>
      </w:pPr>
      <w:r>
        <w:rPr>
          <w:b/>
          <w:bCs/>
        </w:rPr>
        <w:t xml:space="preserve">Property (self-preference).</w:t>
      </w:r>
      <w:r>
        <w:t xml:space="preserve"> </w:t>
      </w:r>
      <w:r>
        <w:t xml:space="preserve">CoEval's vendor-disjoint panel structurally precludes a model from</w:t>
      </w:r>
      <w:r>
        <w:t xml:space="preserve"> </w:t>
      </w:r>
      <w:r>
        <w:t xml:space="preserve">judging its own family, closing the self-preference channel by design. A controlled cross-capability measurement is</w:t>
      </w:r>
      <w:r>
        <w:t xml:space="preserve"> </w:t>
      </w:r>
      <w:r>
        <w:t xml:space="preserve">future work; the present cross-family estimate (</w:t>
      </w:r>
      <m:oMath>
        <m:r>
          <m:rPr>
            <m:sty m:val="p"/>
          </m:rPr>
          <m:t>≈</m:t>
        </m:r>
        <m:r>
          <m:t>0.09</m:t>
        </m:r>
      </m:oMath>
      <w:r>
        <w:t xml:space="preserve">) is indicative, not a confirmed bias magnitude.</w:t>
      </w:r>
    </w:p>
    <w:bookmarkEnd w:id="37"/>
    <w:bookmarkStart w:id="41" w:name="rubric-generalization"/>
    <w:p>
      <w:pPr>
        <w:pStyle w:val="Heading3"/>
        <w:keepNext/>
        <w:keepLines/>
        <w:widowControl w:val="1"/>
      </w:pPr>
      <w:r>
        <w:t xml:space="preserve">5.5 Rubric generalization</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w:t>
      </w:r>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5736336" cy="4998720"/>
            <wp:effectExtent b="0" l="0" r="0" t="0"/>
            <wp:docPr descr="Heatmap of pairwise semantic similarity between auto-generated rubric criteria" title="" id="39" name="Picture"/>
            <a:graphic>
              <a:graphicData uri="http://schemas.openxmlformats.org/drawingml/2006/picture">
                <pic:pic>
                  <pic:nvPicPr>
                    <pic:cNvPr descr="figures/f5_rubric_heatmap.png" id="40" name="Picture"/>
                    <pic:cNvPicPr>
                      <a:picLocks noChangeArrowheads="1" noChangeAspect="1"/>
                    </pic:cNvPicPr>
                  </pic:nvPicPr>
                  <pic:blipFill>
                    <a:blip r:embed="rId38"/>
                    <a:stretch>
                      <a:fillRect/>
                    </a:stretch>
                  </pic:blipFill>
                  <pic:spPr bwMode="auto">
                    <a:xfrm>
                      <a:off x="0" y="0"/>
                      <a:ext cx="5736336" cy="49987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5.</w:t>
      </w:r>
      <w:r>
        <w:t xml:space="preserve"> </w:t>
      </w:r>
      <w:r>
        <w:t xml:space="preserve">Pairwise semantic similarity of the 22 auto-generated rubric criteria across</w:t>
      </w:r>
      <w:r>
        <w:t xml:space="preserve"> </w:t>
      </w:r>
      <w:r>
        <w:t xml:space="preserve">four tasks. Block structure along the diagonal reflects task specialization (within-task</w:t>
      </w:r>
      <w:r>
        <w:t xml:space="preserve"> </w:t>
      </w:r>
      <m:oMath>
        <m:r>
          <m:t>0.342</m:t>
        </m:r>
        <m:r>
          <m:rPr>
            <m:sty m:val="p"/>
          </m:rPr>
          <m:t>&gt;</m:t>
        </m:r>
      </m:oMath>
      <w:r>
        <w:t xml:space="preserve"> </w:t>
      </w:r>
      <w:r>
        <w:t xml:space="preserve">cross-task</w:t>
      </w:r>
      <w:r>
        <w:t xml:space="preserve"> </w:t>
      </w:r>
      <m:oMath>
        <m:r>
          <m:t>0.294</m:t>
        </m:r>
      </m:oMath>
      <w:r>
        <w:t xml:space="preserve">), while a recurring “completeness” dimension forms a cross-task cluster.</w:t>
      </w:r>
    </w:p>
    <w:p>
      <w:pPr>
        <w:pStyle w:val="BodyText"/>
        <w:jc w:val="both"/>
        <w:keepNext w:val="0"/>
        <w:keepLines w:val="0"/>
        <w:widowControl w:val="1"/>
      </w:pPr>
      <w:r>
        <w:rPr>
          <w:b/>
          <w:bCs/>
        </w:rPr>
        <w:t xml:space="preserve">Finding (rubrics).</w:t>
      </w:r>
      <w:r>
        <w:t xml:space="preserve"> </w:t>
      </w:r>
      <w:r>
        <w:t xml:space="preserve">Auto-generated rubrics are task-specialized (within-task similarity</w:t>
      </w:r>
      <w:r>
        <w:t xml:space="preserve"> </w:t>
      </w:r>
      <m:oMath>
        <m:r>
          <m:t>0.342</m:t>
        </m:r>
        <m:r>
          <m:rPr>
            <m:sty m:val="p"/>
          </m:rPr>
          <m:t>&gt;</m:t>
        </m:r>
      </m:oMath>
      <w:r>
        <w:t xml:space="preserve"> </w:t>
      </w:r>
      <w:r>
        <w:t xml:space="preserve">cross-task</w:t>
      </w:r>
      <w:r>
        <w:t xml:space="preserve"> </w:t>
      </w:r>
      <m:oMath>
        <m:r>
          <m:t>0.294</m:t>
        </m:r>
      </m:oMath>
      <w:r>
        <w:t xml:space="preserve">) while sharing a universal “completeness” dimension across three tasks.</w:t>
      </w:r>
    </w:p>
    <w:bookmarkEnd w:id="41"/>
    <w:bookmarkStart w:id="42" w:name="contamination-resistance"/>
    <w:p>
      <w:pPr>
        <w:pStyle w:val="Heading3"/>
        <w:keepNext/>
        <w:keepLines/>
        <w:widowControl w:val="1"/>
      </w:pPr>
      <w:r>
        <w:t xml:space="preserve">5.6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have any overlap. Freshly</w:t>
      </w:r>
      <w:r>
        <w:t xml:space="preserve"> </w:t>
      </w:r>
      <w:r>
        <w:t xml:space="preserve">generated items are thus novel by construction</w:t>
      </w:r>
      <w:r>
        <w:t xml:space="preserve"> </w:t>
      </w:r>
      <w:r>
        <w:rPr>
          <w:i/>
          <w:iCs/>
        </w:rPr>
        <w:t xml:space="preserve">and</w:t>
      </w:r>
      <w:r>
        <w:t xml:space="preserve"> </w:t>
      </w:r>
      <w:r>
        <w:t xml:space="preserve">in measurement, so a model cannot have memorized them from</w:t>
      </w:r>
      <w:r>
        <w:t xml:space="preserve"> </w:t>
      </w:r>
      <w:r>
        <w:t xml:space="preserve">a leaked public test set. (We re-emphasize the scope from Section 5.1: this property holds for CoEval's generated</w:t>
      </w:r>
      <w:r>
        <w:t xml:space="preserve"> </w:t>
      </w:r>
      <w:r>
        <w:t xml:space="preserve">items; the benchmark-grounded anchor of Table 1 deliberately reuses public items to obtain objective ground truth.)</w:t>
      </w:r>
    </w:p>
    <w:p>
      <w:pPr>
        <w:pStyle w:val="BodyText"/>
        <w:jc w:val="both"/>
        <w:keepNext w:val="0"/>
        <w:keepLines w:val="0"/>
        <w:widowControl w:val="1"/>
      </w:pPr>
      <w:r>
        <w:rPr>
          <w:b/>
          <w:bCs/>
        </w:rPr>
        <w:t xml:space="preserve">Finding (contamination).</w:t>
      </w:r>
      <w:r>
        <w:t xml:space="preserve"> </w:t>
      </w:r>
      <w:r>
        <w:t xml:space="preserve">CoEval-generated items have</w:t>
      </w:r>
      <w:r>
        <w:t xml:space="preserve"> </w:t>
      </w:r>
      <m:oMath>
        <m:r>
          <m:t>0.0000</m:t>
        </m:r>
      </m:oMath>
      <w:r>
        <w:t xml:space="preserve"> </w:t>
      </w:r>
      <w:r>
        <w:t xml:space="preserve">13-gram overlap with five major public</w:t>
      </w:r>
      <w:r>
        <w:t xml:space="preserve"> </w:t>
      </w:r>
      <w:r>
        <w:t xml:space="preserve">benchmarks (</w:t>
      </w:r>
      <m:oMath>
        <m:r>
          <m:t>n</m:t>
        </m:r>
        <m:r>
          <m:rPr>
            <m:sty m:val="p"/>
          </m:rPr>
          <m:t>=</m:t>
        </m:r>
        <m:r>
          <m:t>400</m:t>
        </m:r>
      </m:oMath>
      <w:r>
        <w:t xml:space="preserve"> </w:t>
      </w:r>
      <w:r>
        <w:t xml:space="preserve">vs</w:t>
      </w:r>
      <w:r>
        <w:t xml:space="preserve"> </w:t>
      </w:r>
      <m:oMath>
        <m:r>
          <m:t>491</m:t>
        </m:r>
      </m:oMath>
      <w:r>
        <w:t xml:space="preserve"> </w:t>
      </w:r>
      <w:r>
        <w:t xml:space="preserve">items), an empirical confirmation that generated evaluation items are not present in</w:t>
      </w:r>
      <w:r>
        <w:t xml:space="preserve"> </w:t>
      </w:r>
      <w:r>
        <w:t xml:space="preserve">models' pretraining data.</w:t>
      </w:r>
    </w:p>
    <w:bookmarkEnd w:id="42"/>
    <w:bookmarkStart w:id="46" w:name="cost"/>
    <w:p>
      <w:pPr>
        <w:pStyle w:val="Heading3"/>
        <w:keepNext/>
        <w:keepLines/>
        <w:widowControl w:val="1"/>
      </w:pPr>
      <w:r>
        <w:t xml:space="preserve">5.7 Cost</w:t>
      </w:r>
    </w:p>
    <w:p>
      <w:pPr>
        <w:pStyle w:val="FirstParagraph"/>
        <w:jc w:val="both"/>
        <w:keepNext w:val="0"/>
        <w:keepLines w:val="0"/>
        <w:widowControl w:val="1"/>
      </w:pPr>
      <w:r>
        <w:t xml:space="preserve">The entire four-task medium-scale study — teacher generation, student response collection, cross-family judging,</w:t>
      </w:r>
      <w:r>
        <w:t xml:space="preserve"> </w:t>
      </w:r>
      <w:r>
        <w:t xml:space="preserve">and analysis — produced</w:t>
      </w:r>
      <w:r>
        <w:t xml:space="preserve"> </w:t>
      </w:r>
      <w:r>
        <w:rPr>
          <w:b/>
          <w:bCs/>
        </w:rPr>
        <w:t xml:space="preserve">7,978 valid evaluations</w:t>
      </w:r>
      <w:r>
        <w:t xml:space="preserve"> </w:t>
      </w:r>
      <w:r>
        <w:t xml:space="preserve">for a total cost of</w:t>
      </w:r>
      <w:r>
        <w:t xml:space="preserve"> </w:t>
      </w:r>
      <w:r>
        <w:rPr>
          <w:b/>
          <w:bCs/>
        </w:rPr>
        <w:t xml:space="preserve">USD 5.89</w:t>
      </w:r>
      <w:r>
        <w:t xml:space="preserve">,</w:t>
      </w:r>
      <w:r>
        <w:t xml:space="preserve"> </w:t>
      </w:r>
      <w:r>
        <w:t xml:space="preserve">fully automated and with no human annotation. At roughly USD 0.00074 per evaluation, contamination-free, domain-targeted,</w:t>
      </w:r>
      <w:r>
        <w:t xml:space="preserve"> </w:t>
      </w:r>
      <w:r>
        <w:t xml:space="preserve">bias-cancelled evaluation is inexpensive enough to re-run on every model release, which is exactly what a renewable,</w:t>
      </w:r>
      <w:r>
        <w:t xml:space="preserve"> </w:t>
      </w:r>
      <w:r>
        <w:t xml:space="preserve">contamination-resistant benchmark requires.</w:t>
      </w:r>
    </w:p>
    <w:p>
      <w:pPr>
        <w:pStyle w:val="BodyText"/>
        <w:jc w:val="center"/>
        <w:keepNext/>
        <w:keepLines/>
        <w:widowControl w:val="1"/>
      </w:pPr>
      <w:r>
        <w:drawing>
          <wp:inline>
            <wp:extent cx="4632960" cy="2987040"/>
            <wp:effectExtent b="0" l="0" r="0" t="0"/>
            <wp:docPr descr="Evaluations per dollar: CoEval versus human annotation" title="" id="44" name="Picture"/>
            <a:graphic>
              <a:graphicData uri="http://schemas.openxmlformats.org/drawingml/2006/picture">
                <pic:pic>
                  <pic:nvPicPr>
                    <pic:cNvPr descr="figures/f6_cost.png" id="45" name="Picture"/>
                    <pic:cNvPicPr>
                      <a:picLocks noChangeArrowheads="1" noChangeAspect="1"/>
                    </pic:cNvPicPr>
                  </pic:nvPicPr>
                  <pic:blipFill>
                    <a:blip r:embed="rId43"/>
                    <a:stretch>
                      <a:fillRect/>
                    </a:stretch>
                  </pic:blipFill>
                  <pic:spPr bwMode="auto">
                    <a:xfrm>
                      <a:off x="0" y="0"/>
                      <a:ext cx="4632960"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6.</w:t>
      </w:r>
      <w:r>
        <w:t xml:space="preserve"> </w:t>
      </w:r>
      <w:r>
        <w:t xml:space="preserve">Throughput. CoEval produces roughly</w:t>
      </w:r>
      <w:r>
        <w:t xml:space="preserve"> </w:t>
      </w:r>
      <m:oMath>
        <m:r>
          <m:t>1</m:t>
        </m:r>
        <m:r>
          <m:rPr>
            <m:sty m:val="p"/>
          </m:rPr>
          <m:t>,</m:t>
        </m:r>
        <m:r>
          <m:t>350</m:t>
        </m:r>
      </m:oMath>
      <w:r>
        <w:t xml:space="preserve"> </w:t>
      </w:r>
      <w:r>
        <w:t xml:space="preserve">evaluations per dollar</w:t>
      </w:r>
      <w:r>
        <w:t xml:space="preserve"> </w:t>
      </w:r>
      <w:r>
        <w:t xml:space="preserve">(7,978 evaluations for USD 5.89), two to three orders of magnitude above typical human annotation, enabling</w:t>
      </w:r>
      <w:r>
        <w:t xml:space="preserve"> </w:t>
      </w:r>
      <w:r>
        <w:t xml:space="preserve">re-evaluation on every model release.</w:t>
      </w:r>
    </w:p>
    <w:bookmarkEnd w:id="46"/>
    <w:bookmarkEnd w:id="47"/>
    <w:bookmarkStart w:id="48" w:name="discussion"/>
    <w:p>
      <w:pPr>
        <w:pStyle w:val="Heading2"/>
        <w:keepNext/>
        <w:keepLines/>
        <w:widowControl w:val="1"/>
      </w:pPr>
      <w:r>
        <w:t xml:space="preserve">6. Discussion</w:t>
      </w:r>
    </w:p>
    <w:p>
      <w:pPr>
        <w:pStyle w:val="FirstParagraph"/>
        <w:jc w:val="both"/>
        <w:keepNext w:val="0"/>
        <w:keepLines w:val="0"/>
        <w:widowControl w:val="1"/>
      </w:pPr>
      <w:r>
        <w:t xml:space="preserve">Taken together, the results support a single design principle: the reliability of an LLM-judge panel is governed by</w:t>
      </w:r>
      <w:r>
        <w:t xml:space="preserve"> </w:t>
      </w:r>
      <w:r>
        <w:t xml:space="preserve">its</w:t>
      </w:r>
      <w:r>
        <w:t xml:space="preserve"> </w:t>
      </w:r>
      <w:r>
        <w:rPr>
          <w:i/>
          <w:iCs/>
        </w:rPr>
        <w:t xml:space="preserve">composition</w:t>
      </w:r>
      <w:r>
        <w:t xml:space="preserve">, not its size. A diverse, cross-family panel cancels the mixed-sign biases — verbosity,</w:t>
      </w:r>
      <w:r>
        <w:t xml:space="preserve"> </w:t>
      </w:r>
      <w:r>
        <w:t xml:space="preserve">self-preference — that any individual judge carries, while a same-family panel would merely amplify a shared</w:t>
      </w:r>
      <w:r>
        <w:t xml:space="preserve"> </w:t>
      </w:r>
      <w:r>
        <w:t xml:space="preserve">bias. This reframes panel construction: practitioners should prioritize vendor diversity over adding more copies of</w:t>
      </w:r>
      <w:r>
        <w:t xml:space="preserve"> </w:t>
      </w:r>
      <w:r>
        <w:t xml:space="preserve">similar judges. The Spearman–Brown convergence (Section 5.2) further shows that a modest diverse panel</w:t>
      </w:r>
      <w:r>
        <w:t xml:space="preserve"> </w:t>
      </w:r>
      <w:r>
        <w:t xml:space="preserve">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 one architectural choice closing two leakage channels. Declarative</w:t>
      </w:r>
      <w:r>
        <w:t xml:space="preserve"> </w:t>
      </w:r>
      <w:r>
        <w:t xml:space="preserve">specification keeps the whole pipeline reproducible: a single YAML file regenerates the benchmark, the responses, and</w:t>
      </w:r>
      <w:r>
        <w:t xml:space="preserve"> </w:t>
      </w:r>
      <w:r>
        <w:t xml:space="preserve">the scores.</w:t>
      </w:r>
    </w:p>
    <w:bookmarkEnd w:id="48"/>
    <w:bookmarkStart w:id="49"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contamination-free, domain-targeted LLM evaluation framework built on a teacher/student/judge</w:t>
      </w:r>
      <w:r>
        <w:t xml:space="preserve"> </w:t>
      </w:r>
      <w:r>
        <w:t xml:space="preserve">role separation, attribute-stratified benchmark generation, and a cross-family judge ensemble.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 all at USD 5.89 for 7,978 evaluations.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 CoEval is open-source, declarative, and</w:t>
      </w:r>
      <w:r>
        <w:t xml:space="preserve"> </w:t>
      </w:r>
      <w:r>
        <w:t xml:space="preserve">fully reproducible.</w:t>
      </w:r>
    </w:p>
    <w:bookmarkEnd w:id="49"/>
    <w:bookmarkStart w:id="102" w:name="references"/>
    <w:p>
      <w:pPr>
        <w:pStyle w:val="ReferencesHeading"/>
        <w:jc w:val="left"/>
        <w:keepNext/>
        <w:keepLines/>
        <w:widowControl w:val="1"/>
      </w:pPr>
      <w:r>
        <w:t xml:space="preserve">References</w:t>
      </w:r>
    </w:p>
    <w:p>
      <w:pPr>
        <w:pStyle w:val="ReferenceEntry"/>
        <w:numPr>
          <w:ilvl w:val="0"/>
          <w:numId w:val="1002"/>
        </w:numPr>
        <w:jc w:val="left"/>
        <w:keepNext w:val="0"/>
        <w:keepLines w:val="0"/>
        <w:widowControl w:val="1"/>
      </w:pPr>
      <w:bookmarkStart w:id="51"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50">
        <w:r>
          <w:rPr>
            <w:rStyle w:val="Hyperlink"/>
          </w:rPr>
          <w:t xml:space="preserve">arxiv.org/abs/2306.05685</w:t>
        </w:r>
      </w:hyperlink>
      <w:bookmarkEnd w:id="51"/>
    </w:p>
    <w:p>
      <w:pPr>
        <w:pStyle w:val="ReferenceEntry"/>
        <w:numPr>
          <w:ilvl w:val="0"/>
          <w:numId w:val="1002"/>
        </w:numPr>
        <w:jc w:val="left"/>
        <w:keepNext w:val="0"/>
        <w:keepLines w:val="0"/>
        <w:widowControl w:val="1"/>
      </w:pPr>
      <w:bookmarkStart w:id="53"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52">
        <w:r>
          <w:rPr>
            <w:rStyle w:val="Hyperlink"/>
          </w:rPr>
          <w:t xml:space="preserve">arxiv.org/abs/2303.16634</w:t>
        </w:r>
      </w:hyperlink>
      <w:bookmarkEnd w:id="53"/>
    </w:p>
    <w:p>
      <w:pPr>
        <w:pStyle w:val="ReferenceEntry"/>
        <w:numPr>
          <w:ilvl w:val="0"/>
          <w:numId w:val="1002"/>
        </w:numPr>
        <w:jc w:val="left"/>
        <w:keepNext w:val="0"/>
        <w:keepLines w:val="0"/>
        <w:widowControl w:val="1"/>
      </w:pPr>
      <w:bookmarkStart w:id="55"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54">
        <w:r>
          <w:rPr>
            <w:rStyle w:val="Hyperlink"/>
          </w:rPr>
          <w:t xml:space="preserve">arxiv.org/abs/2405.01535</w:t>
        </w:r>
      </w:hyperlink>
      <w:bookmarkEnd w:id="55"/>
    </w:p>
    <w:p>
      <w:pPr>
        <w:pStyle w:val="ReferenceEntry"/>
        <w:numPr>
          <w:ilvl w:val="0"/>
          <w:numId w:val="1002"/>
        </w:numPr>
        <w:jc w:val="left"/>
        <w:keepNext w:val="0"/>
        <w:keepLines w:val="0"/>
        <w:widowControl w:val="1"/>
      </w:pPr>
      <w:bookmarkStart w:id="57"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56">
        <w:r>
          <w:rPr>
            <w:rStyle w:val="Hyperlink"/>
          </w:rPr>
          <w:t xml:space="preserve">arxiv.org/abs/2407.10817</w:t>
        </w:r>
      </w:hyperlink>
      <w:bookmarkEnd w:id="57"/>
    </w:p>
    <w:p>
      <w:pPr>
        <w:pStyle w:val="ReferenceEntry"/>
        <w:numPr>
          <w:ilvl w:val="0"/>
          <w:numId w:val="1002"/>
        </w:numPr>
        <w:jc w:val="left"/>
        <w:keepNext w:val="0"/>
        <w:keepLines w:val="0"/>
        <w:widowControl w:val="1"/>
      </w:pPr>
      <w:bookmarkStart w:id="59"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58">
        <w:r>
          <w:rPr>
            <w:rStyle w:val="Hyperlink"/>
          </w:rPr>
          <w:t xml:space="preserve">arxiv.org/abs/2404.18796</w:t>
        </w:r>
      </w:hyperlink>
      <w:bookmarkEnd w:id="59"/>
    </w:p>
    <w:p>
      <w:pPr>
        <w:pStyle w:val="ReferenceEntry"/>
        <w:numPr>
          <w:ilvl w:val="0"/>
          <w:numId w:val="1002"/>
        </w:numPr>
        <w:jc w:val="left"/>
        <w:keepNext w:val="0"/>
        <w:keepLines w:val="0"/>
        <w:widowControl w:val="1"/>
      </w:pPr>
      <w:bookmarkStart w:id="61"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60">
        <w:r>
          <w:rPr>
            <w:rStyle w:val="Hyperlink"/>
          </w:rPr>
          <w:t xml:space="preserve">arxiv.org/abs/2410.12784</w:t>
        </w:r>
      </w:hyperlink>
      <w:bookmarkEnd w:id="61"/>
    </w:p>
    <w:p>
      <w:pPr>
        <w:pStyle w:val="ReferenceEntry"/>
        <w:numPr>
          <w:ilvl w:val="0"/>
          <w:numId w:val="1002"/>
        </w:numPr>
        <w:jc w:val="left"/>
        <w:keepNext w:val="0"/>
        <w:keepLines w:val="0"/>
        <w:widowControl w:val="1"/>
      </w:pPr>
      <w:bookmarkStart w:id="63"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62">
        <w:r>
          <w:rPr>
            <w:rStyle w:val="Hyperlink"/>
          </w:rPr>
          <w:t xml:space="preserve">arxiv.org/abs/2406.05761</w:t>
        </w:r>
      </w:hyperlink>
      <w:bookmarkEnd w:id="63"/>
    </w:p>
    <w:p>
      <w:pPr>
        <w:pStyle w:val="ReferenceEntry"/>
        <w:numPr>
          <w:ilvl w:val="0"/>
          <w:numId w:val="1002"/>
        </w:numPr>
        <w:jc w:val="left"/>
        <w:keepNext w:val="0"/>
        <w:keepLines w:val="0"/>
        <w:widowControl w:val="1"/>
      </w:pPr>
      <w:bookmarkStart w:id="65"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64">
        <w:r>
          <w:rPr>
            <w:rStyle w:val="Hyperlink"/>
          </w:rPr>
          <w:t xml:space="preserve">arxiv.org/abs/2404.04475</w:t>
        </w:r>
      </w:hyperlink>
      <w:bookmarkEnd w:id="65"/>
    </w:p>
    <w:p>
      <w:pPr>
        <w:pStyle w:val="ReferenceEntry"/>
        <w:numPr>
          <w:ilvl w:val="0"/>
          <w:numId w:val="1002"/>
        </w:numPr>
        <w:jc w:val="left"/>
        <w:keepNext w:val="0"/>
        <w:keepLines w:val="0"/>
        <w:widowControl w:val="1"/>
      </w:pPr>
      <w:bookmarkStart w:id="67" w:name="r9"/>
      <w:r>
        <w:t xml:space="preserve">Li, X. L., Kazemi, M., et al. (2024).</w:t>
      </w:r>
      <w:r>
        <w:t xml:space="preserve"> </w:t>
      </w:r>
      <w:r>
        <w:rPr>
          <w:i/>
          <w:iCs/>
        </w:rPr>
        <w:t xml:space="preserve">AutoBencher: Towards Declarative Benchmark Construction.</w:t>
      </w:r>
      <w:r>
        <w:t xml:space="preserve"> </w:t>
      </w:r>
      <w:hyperlink r:id="rId66">
        <w:r>
          <w:rPr>
            <w:rStyle w:val="Hyperlink"/>
          </w:rPr>
          <w:t xml:space="preserve">arxiv.org/abs/2407.08351</w:t>
        </w:r>
      </w:hyperlink>
      <w:bookmarkEnd w:id="67"/>
    </w:p>
    <w:p>
      <w:pPr>
        <w:pStyle w:val="ReferenceEntry"/>
        <w:numPr>
          <w:ilvl w:val="0"/>
          <w:numId w:val="1002"/>
        </w:numPr>
        <w:jc w:val="left"/>
        <w:keepNext w:val="0"/>
        <w:keepLines w:val="0"/>
        <w:widowControl w:val="1"/>
      </w:pPr>
      <w:bookmarkStart w:id="69"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68">
        <w:r>
          <w:rPr>
            <w:rStyle w:val="Hyperlink"/>
          </w:rPr>
          <w:t xml:space="preserve">arxiv.org/abs/2410.22584</w:t>
        </w:r>
      </w:hyperlink>
      <w:bookmarkEnd w:id="69"/>
    </w:p>
    <w:p>
      <w:pPr>
        <w:pStyle w:val="ReferenceEntry"/>
        <w:numPr>
          <w:ilvl w:val="0"/>
          <w:numId w:val="1002"/>
        </w:numPr>
        <w:jc w:val="left"/>
        <w:keepNext w:val="0"/>
        <w:keepLines w:val="0"/>
        <w:widowControl w:val="1"/>
      </w:pPr>
      <w:bookmarkStart w:id="71" w:name="r11"/>
      <w:r>
        <w:t xml:space="preserve">Shashidhar, S., et al. (2025).</w:t>
      </w:r>
      <w:r>
        <w:t xml:space="preserve"> </w:t>
      </w:r>
      <w:r>
        <w:rPr>
          <w:i/>
          <w:iCs/>
        </w:rPr>
        <w:t xml:space="preserve">YourBench: Easy Custom Evaluation Sets for Everyone.</w:t>
      </w:r>
      <w:r>
        <w:t xml:space="preserve"> </w:t>
      </w:r>
      <w:hyperlink r:id="rId70">
        <w:r>
          <w:rPr>
            <w:rStyle w:val="Hyperlink"/>
          </w:rPr>
          <w:t xml:space="preserve">arxiv.org/abs/2504.01833</w:t>
        </w:r>
      </w:hyperlink>
      <w:bookmarkEnd w:id="71"/>
    </w:p>
    <w:p>
      <w:pPr>
        <w:pStyle w:val="ReferenceEntry"/>
        <w:numPr>
          <w:ilvl w:val="0"/>
          <w:numId w:val="1002"/>
        </w:numPr>
        <w:jc w:val="left"/>
        <w:keepNext w:val="0"/>
        <w:keepLines w:val="0"/>
        <w:widowControl w:val="1"/>
      </w:pPr>
      <w:bookmarkStart w:id="73"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72">
        <w:r>
          <w:rPr>
            <w:rStyle w:val="Hyperlink"/>
          </w:rPr>
          <w:t xml:space="preserve">arxiv.org/abs/2405.00332</w:t>
        </w:r>
      </w:hyperlink>
      <w:bookmarkEnd w:id="73"/>
    </w:p>
    <w:p>
      <w:pPr>
        <w:pStyle w:val="ReferenceEntry"/>
        <w:numPr>
          <w:ilvl w:val="0"/>
          <w:numId w:val="1002"/>
        </w:numPr>
        <w:jc w:val="left"/>
        <w:keepNext w:val="0"/>
        <w:keepLines w:val="0"/>
        <w:widowControl w:val="1"/>
      </w:pPr>
      <w:bookmarkStart w:id="75" w:name="r13"/>
      <w:r>
        <w:t xml:space="preserve">Xu, C., et al. (2025).</w:t>
      </w:r>
      <w:r>
        <w:t xml:space="preserve"> </w:t>
      </w:r>
      <w:r>
        <w:rPr>
          <w:i/>
          <w:iCs/>
        </w:rPr>
        <w:t xml:space="preserve">Benchmark Data Contamination of Large Language Models: A Survey.</w:t>
      </w:r>
      <w:r>
        <w:t xml:space="preserve"> </w:t>
      </w:r>
      <w:hyperlink r:id="rId74">
        <w:r>
          <w:rPr>
            <w:rStyle w:val="Hyperlink"/>
          </w:rPr>
          <w:t xml:space="preserve">arxiv.org/abs/2502.14425</w:t>
        </w:r>
      </w:hyperlink>
      <w:bookmarkEnd w:id="75"/>
    </w:p>
    <w:p>
      <w:pPr>
        <w:pStyle w:val="ReferenceEntry"/>
        <w:numPr>
          <w:ilvl w:val="0"/>
          <w:numId w:val="1002"/>
        </w:numPr>
        <w:jc w:val="left"/>
        <w:keepNext w:val="0"/>
        <w:keepLines w:val="0"/>
        <w:widowControl w:val="1"/>
      </w:pPr>
      <w:bookmarkStart w:id="77"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76">
        <w:r>
          <w:rPr>
            <w:rStyle w:val="Hyperlink"/>
          </w:rPr>
          <w:t xml:space="preserve">arxiv.org/abs/2104.14337</w:t>
        </w:r>
      </w:hyperlink>
      <w:bookmarkEnd w:id="77"/>
    </w:p>
    <w:p>
      <w:pPr>
        <w:pStyle w:val="ReferenceEntry"/>
        <w:numPr>
          <w:ilvl w:val="0"/>
          <w:numId w:val="1002"/>
        </w:numPr>
        <w:jc w:val="left"/>
        <w:keepNext w:val="0"/>
        <w:keepLines w:val="0"/>
        <w:widowControl w:val="1"/>
      </w:pPr>
      <w:bookmarkStart w:id="79"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78">
        <w:r>
          <w:rPr>
            <w:rStyle w:val="Hyperlink"/>
          </w:rPr>
          <w:t xml:space="preserve">arxiv.org/abs/2502.01534</w:t>
        </w:r>
      </w:hyperlink>
      <w:bookmarkEnd w:id="79"/>
    </w:p>
    <w:p>
      <w:pPr>
        <w:pStyle w:val="ReferenceEntry"/>
        <w:numPr>
          <w:ilvl w:val="0"/>
          <w:numId w:val="1002"/>
        </w:numPr>
        <w:jc w:val="left"/>
        <w:keepNext w:val="0"/>
        <w:keepLines w:val="0"/>
        <w:widowControl w:val="1"/>
      </w:pPr>
      <w:bookmarkStart w:id="81"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80">
        <w:r>
          <w:rPr>
            <w:rStyle w:val="Hyperlink"/>
          </w:rPr>
          <w:t xml:space="preserve">arxiv.org/abs/2508.06709</w:t>
        </w:r>
      </w:hyperlink>
      <w:bookmarkEnd w:id="81"/>
    </w:p>
    <w:p>
      <w:pPr>
        <w:pStyle w:val="ReferenceEntry"/>
        <w:numPr>
          <w:ilvl w:val="0"/>
          <w:numId w:val="1002"/>
        </w:numPr>
        <w:jc w:val="left"/>
        <w:keepNext w:val="0"/>
        <w:keepLines w:val="0"/>
        <w:widowControl w:val="1"/>
      </w:pPr>
      <w:bookmarkStart w:id="83"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82">
        <w:r>
          <w:rPr>
            <w:rStyle w:val="Hyperlink"/>
          </w:rPr>
          <w:t xml:space="preserve">arxiv.org/abs/2410.02736</w:t>
        </w:r>
      </w:hyperlink>
      <w:bookmarkEnd w:id="83"/>
    </w:p>
    <w:p>
      <w:pPr>
        <w:pStyle w:val="ReferenceEntry"/>
        <w:numPr>
          <w:ilvl w:val="0"/>
          <w:numId w:val="1002"/>
        </w:numPr>
        <w:jc w:val="left"/>
        <w:keepNext w:val="0"/>
        <w:keepLines w:val="0"/>
        <w:widowControl w:val="1"/>
      </w:pPr>
      <w:bookmarkStart w:id="85" w:name="r18"/>
      <w:r>
        <w:t xml:space="preserve">Wataoka, K., Takahashi, T., Ri, R. (2024).</w:t>
      </w:r>
      <w:r>
        <w:t xml:space="preserve"> </w:t>
      </w:r>
      <w:r>
        <w:rPr>
          <w:i/>
          <w:iCs/>
        </w:rPr>
        <w:t xml:space="preserve">Self-Preference Bias in LLM-as-a-Judge.</w:t>
      </w:r>
      <w:r>
        <w:t xml:space="preserve"> </w:t>
      </w:r>
      <w:hyperlink r:id="rId84">
        <w:r>
          <w:rPr>
            <w:rStyle w:val="Hyperlink"/>
          </w:rPr>
          <w:t xml:space="preserve">arxiv.org/abs/2410.21819</w:t>
        </w:r>
      </w:hyperlink>
      <w:bookmarkEnd w:id="85"/>
    </w:p>
    <w:p>
      <w:pPr>
        <w:pStyle w:val="ReferenceEntry"/>
        <w:numPr>
          <w:ilvl w:val="0"/>
          <w:numId w:val="1002"/>
        </w:numPr>
        <w:jc w:val="left"/>
        <w:keepNext w:val="0"/>
        <w:keepLines w:val="0"/>
        <w:widowControl w:val="1"/>
      </w:pPr>
      <w:bookmarkStart w:id="87" w:name="r19"/>
      <w:r>
        <w:t xml:space="preserve">Gu, J., Jiang, X., Shi, Z., et al. (2024).</w:t>
      </w:r>
      <w:r>
        <w:t xml:space="preserve"> </w:t>
      </w:r>
      <w:r>
        <w:rPr>
          <w:i/>
          <w:iCs/>
        </w:rPr>
        <w:t xml:space="preserve">A Survey on LLM-as-a-Judge.</w:t>
      </w:r>
      <w:r>
        <w:t xml:space="preserve"> </w:t>
      </w:r>
      <w:hyperlink r:id="rId86">
        <w:r>
          <w:rPr>
            <w:rStyle w:val="Hyperlink"/>
          </w:rPr>
          <w:t xml:space="preserve">arxiv.org/abs/2411.15594</w:t>
        </w:r>
      </w:hyperlink>
      <w:bookmarkEnd w:id="87"/>
    </w:p>
    <w:p>
      <w:pPr>
        <w:pStyle w:val="ReferenceEntry"/>
        <w:numPr>
          <w:ilvl w:val="0"/>
          <w:numId w:val="1002"/>
        </w:numPr>
        <w:jc w:val="left"/>
        <w:keepNext w:val="0"/>
        <w:keepLines w:val="0"/>
        <w:widowControl w:val="1"/>
      </w:pPr>
      <w:bookmarkStart w:id="89"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88">
        <w:r>
          <w:rPr>
            <w:rStyle w:val="Hyperlink"/>
          </w:rPr>
          <w:t xml:space="preserve">arxiv.org/abs/2411.16594</w:t>
        </w:r>
      </w:hyperlink>
      <w:bookmarkEnd w:id="89"/>
    </w:p>
    <w:p>
      <w:pPr>
        <w:pStyle w:val="ReferenceEntry"/>
        <w:numPr>
          <w:ilvl w:val="0"/>
          <w:numId w:val="1002"/>
        </w:numPr>
        <w:jc w:val="left"/>
        <w:keepNext w:val="0"/>
        <w:keepLines w:val="0"/>
        <w:widowControl w:val="1"/>
      </w:pPr>
      <w:bookmarkStart w:id="91"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90">
        <w:r>
          <w:rPr>
            <w:rStyle w:val="Hyperlink"/>
          </w:rPr>
          <w:t xml:space="preserve">arxiv.org/abs/2308.07201</w:t>
        </w:r>
      </w:hyperlink>
      <w:bookmarkEnd w:id="91"/>
    </w:p>
    <w:p>
      <w:pPr>
        <w:pStyle w:val="ReferenceEntry"/>
        <w:numPr>
          <w:ilvl w:val="0"/>
          <w:numId w:val="1002"/>
        </w:numPr>
        <w:jc w:val="left"/>
        <w:keepNext w:val="0"/>
        <w:keepLines w:val="0"/>
        <w:widowControl w:val="1"/>
      </w:pPr>
      <w:bookmarkStart w:id="93"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92">
        <w:r>
          <w:rPr>
            <w:rStyle w:val="Hyperlink"/>
          </w:rPr>
          <w:t xml:space="preserve">arxiv.org/abs/2406.19314</w:t>
        </w:r>
      </w:hyperlink>
      <w:bookmarkEnd w:id="93"/>
    </w:p>
    <w:p>
      <w:pPr>
        <w:pStyle w:val="ReferenceEntry"/>
        <w:numPr>
          <w:ilvl w:val="0"/>
          <w:numId w:val="1002"/>
        </w:numPr>
        <w:jc w:val="left"/>
        <w:keepNext w:val="0"/>
        <w:keepLines w:val="0"/>
        <w:widowControl w:val="1"/>
      </w:pPr>
      <w:bookmarkStart w:id="95"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94">
        <w:r>
          <w:rPr>
            <w:rStyle w:val="Hyperlink"/>
          </w:rPr>
          <w:t xml:space="preserve">arxiv.org/abs/2403.07974</w:t>
        </w:r>
      </w:hyperlink>
      <w:bookmarkEnd w:id="95"/>
    </w:p>
    <w:p>
      <w:pPr>
        <w:pStyle w:val="ReferenceEntry"/>
        <w:numPr>
          <w:ilvl w:val="0"/>
          <w:numId w:val="1002"/>
        </w:numPr>
        <w:jc w:val="left"/>
        <w:keepNext w:val="0"/>
        <w:keepLines w:val="0"/>
        <w:widowControl w:val="1"/>
      </w:pPr>
      <w:bookmarkStart w:id="97"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96">
        <w:r>
          <w:rPr>
            <w:rStyle w:val="Hyperlink"/>
          </w:rPr>
          <w:t xml:space="preserve">arxiv.org/abs/2504.03846</w:t>
        </w:r>
      </w:hyperlink>
      <w:bookmarkEnd w:id="97"/>
    </w:p>
    <w:p>
      <w:pPr>
        <w:pStyle w:val="ReferenceEntry"/>
        <w:numPr>
          <w:ilvl w:val="0"/>
          <w:numId w:val="1002"/>
        </w:numPr>
        <w:jc w:val="left"/>
        <w:keepNext w:val="0"/>
        <w:keepLines w:val="0"/>
        <w:widowControl w:val="1"/>
      </w:pPr>
      <w:bookmarkStart w:id="99"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98">
        <w:r>
          <w:rPr>
            <w:rStyle w:val="Hyperlink"/>
          </w:rPr>
          <w:t xml:space="preserve">arxiv.org/abs/2408.08808</w:t>
        </w:r>
      </w:hyperlink>
      <w:bookmarkEnd w:id="99"/>
    </w:p>
    <w:p>
      <w:pPr>
        <w:pStyle w:val="ReferenceEntry"/>
        <w:numPr>
          <w:ilvl w:val="0"/>
          <w:numId w:val="1002"/>
        </w:numPr>
        <w:jc w:val="left"/>
        <w:keepNext w:val="0"/>
        <w:keepLines w:val="0"/>
        <w:widowControl w:val="1"/>
      </w:pPr>
      <w:bookmarkStart w:id="101" w:name="r26"/>
      <w:r>
        <w:t xml:space="preserve">Li, Y., et al. (2025).</w:t>
      </w:r>
      <w:r>
        <w:t xml:space="preserve"> </w:t>
      </w:r>
      <w:r>
        <w:rPr>
          <w:i/>
          <w:iCs/>
        </w:rPr>
        <w:t xml:space="preserve">Leveraging LLMs as Meta-Judges: A Multi-Agent Framework.</w:t>
      </w:r>
      <w:r>
        <w:t xml:space="preserve"> </w:t>
      </w:r>
      <w:hyperlink r:id="rId100">
        <w:r>
          <w:rPr>
            <w:rStyle w:val="Hyperlink"/>
          </w:rPr>
          <w:t xml:space="preserve">arxiv.org/abs/2504.17087</w:t>
        </w:r>
      </w:hyperlink>
      <w:bookmarkEnd w:id="101"/>
    </w:p>
    <w:p>
      <w:pPr>
        <w:pStyle w:val="ReferenceEntry"/>
        <w:jc w:val="left"/>
        <w:keepNext w:val="0"/>
        <w:keepLines w:val="0"/>
        <w:widowControl w:val="1"/>
      </w:pPr>
      <w:r>
        <w:t xml:space="preserve">Preprint. Generated HTML build. © 2026 Alexander Apartsin &amp; Yehudit Aperstein.</w:t>
      </w:r>
    </w:p>
    <w:bookmarkEnd w:id="102"/>
    <w:bookmarkStart w:id="118" w:name="appendix-a-interactive-report-gallery"/>
    <w:p>
      <w:pPr>
        <w:pStyle w:val="Heading2"/>
        <w:keepNext/>
        <w:keepLines/>
        <w:widowControl w:val="1"/>
      </w:pPr>
      <w:r>
        <w:t xml:space="preserve">Appendix A: Interactive Report Gallery</w:t>
      </w:r>
    </w:p>
    <w:p>
      <w:pPr>
        <w:pStyle w:val="FirstParagraph"/>
        <w:jc w:val="both"/>
        <w:keepNext w:val="0"/>
        <w:keepLines w:val="0"/>
        <w:widowControl w:val="1"/>
      </w:pPr>
      <w:r>
        <w:t xml:space="preserve">Every CoEval run emits a suite of self-contained, interactive HTML reports (no external dependencies) alongside a</w:t>
      </w:r>
      <w:r>
        <w:t xml:space="preserve"> </w:t>
      </w:r>
      <w:r>
        <w:t xml:space="preserve">machine-readable benchmark export. The panels below are drawn from the four-task study of Section 5. They are</w:t>
      </w:r>
      <w:r>
        <w:t xml:space="preserve"> </w:t>
      </w:r>
      <w:r>
        <w:t xml:space="preserve">illustrative; the live reports support filtering, drill-down, and CSV export.</w:t>
      </w:r>
    </w:p>
    <w:p>
      <w:pPr>
        <w:pStyle w:val="BodyText"/>
        <w:jc w:val="center"/>
        <w:keepNext/>
        <w:keepLines/>
        <w:widowControl w:val="1"/>
      </w:pPr>
      <w:r>
        <w:drawing>
          <wp:inline>
            <wp:extent cx="5943600" cy="6605886"/>
            <wp:effectExtent b="0" l="0" r="0" t="0"/>
            <wp:docPr descr="CoEval summary dashboard" title="" id="104" name="Picture"/>
            <a:graphic>
              <a:graphicData uri="http://schemas.openxmlformats.org/drawingml/2006/picture">
                <pic:pic>
                  <pic:nvPicPr>
                    <pic:cNvPr descr="figures/gallery_fig_summary.png" id="105" name="Picture"/>
                    <pic:cNvPicPr>
                      <a:picLocks noChangeArrowheads="1" noChangeAspect="1"/>
                    </pic:cNvPicPr>
                  </pic:nvPicPr>
                  <pic:blipFill>
                    <a:blip r:embed="rId103"/>
                    <a:stretch>
                      <a:fillRect/>
                    </a:stretch>
                  </pic:blipFill>
                  <pic:spPr bwMode="auto">
                    <a:xfrm>
                      <a:off x="0" y="0"/>
                      <a:ext cx="5943600" cy="6605886"/>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A1.</w:t>
      </w:r>
      <w:r>
        <w:t xml:space="preserve"> </w:t>
      </w:r>
      <w:r>
        <w:t xml:space="preserve">Summary dashboard: model rankings, confidence intervals, and navigation.</w:t>
      </w:r>
    </w:p>
    <w:p>
      <w:pPr>
        <w:pStyle w:val="BodyText"/>
        <w:jc w:val="center"/>
        <w:keepNext/>
        <w:keepLines/>
        <w:widowControl w:val="1"/>
      </w:pPr>
      <w:r>
        <w:drawing>
          <wp:inline>
            <wp:extent cx="5943600" cy="7225719"/>
            <wp:effectExtent b="0" l="0" r="0" t="0"/>
            <wp:docPr descr="Judge agreement and reliability report" title="" id="107" name="Picture"/>
            <a:graphic>
              <a:graphicData uri="http://schemas.openxmlformats.org/drawingml/2006/picture">
                <pic:pic>
                  <pic:nvPicPr>
                    <pic:cNvPr descr="figures/gallery_fig_judge_report.png" id="108" name="Picture"/>
                    <pic:cNvPicPr>
                      <a:picLocks noChangeArrowheads="1" noChangeAspect="1"/>
                    </pic:cNvPicPr>
                  </pic:nvPicPr>
                  <pic:blipFill>
                    <a:blip r:embed="rId106"/>
                    <a:stretch>
                      <a:fillRect/>
                    </a:stretch>
                  </pic:blipFill>
                  <pic:spPr bwMode="auto">
                    <a:xfrm>
                      <a:off x="0" y="0"/>
                      <a:ext cx="5943600" cy="7225719"/>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A2.</w:t>
      </w:r>
      <w:r>
        <w:t xml:space="preserve"> </w:t>
      </w:r>
      <w:r>
        <w:t xml:space="preserve">Judge report: pairwise agreement, calibration, and reliability per judge.</w:t>
      </w:r>
    </w:p>
    <w:p>
      <w:pPr>
        <w:pStyle w:val="BodyText"/>
        <w:jc w:val="center"/>
        <w:keepNext/>
        <w:keepLines/>
        <w:widowControl w:val="1"/>
      </w:pPr>
      <w:r>
        <w:drawing>
          <wp:inline>
            <wp:extent cx="5943600" cy="9229561"/>
            <wp:effectExtent b="0" l="0" r="0" t="0"/>
            <wp:docPr descr="Attribute coverage summary report" title="" id="110" name="Picture"/>
            <a:graphic>
              <a:graphicData uri="http://schemas.openxmlformats.org/drawingml/2006/picture">
                <pic:pic>
                  <pic:nvPicPr>
                    <pic:cNvPr descr="figures/gallery_fig_coverage_summary.png" id="111" name="Picture"/>
                    <pic:cNvPicPr>
                      <a:picLocks noChangeArrowheads="1" noChangeAspect="1"/>
                    </pic:cNvPicPr>
                  </pic:nvPicPr>
                  <pic:blipFill>
                    <a:blip r:embed="rId109"/>
                    <a:stretch>
                      <a:fillRect/>
                    </a:stretch>
                  </pic:blipFill>
                  <pic:spPr bwMode="auto">
                    <a:xfrm>
                      <a:off x="0" y="0"/>
                      <a:ext cx="5943600" cy="9229561"/>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A3.</w:t>
      </w:r>
      <w:r>
        <w:t xml:space="preserve"> </w:t>
      </w:r>
      <w:r>
        <w:t xml:space="preserve">Coverage summary: attribute-coverage ratio and rare-stratum recall per task.</w:t>
      </w:r>
    </w:p>
    <w:p>
      <w:pPr>
        <w:pStyle w:val="BodyText"/>
        <w:jc w:val="center"/>
        <w:keepNext/>
        <w:keepLines/>
        <w:widowControl w:val="1"/>
      </w:pPr>
      <w:r>
        <w:drawing>
          <wp:inline>
            <wp:extent cx="5943600" cy="10974432"/>
            <wp:effectExtent b="0" l="0" r="0" t="0"/>
            <wp:docPr descr="Score distribution report" title="" id="113" name="Picture"/>
            <a:graphic>
              <a:graphicData uri="http://schemas.openxmlformats.org/drawingml/2006/picture">
                <pic:pic>
                  <pic:nvPicPr>
                    <pic:cNvPr descr="figures/gallery_fig_score_distribution.png" id="114" name="Picture"/>
                    <pic:cNvPicPr>
                      <a:picLocks noChangeArrowheads="1" noChangeAspect="1"/>
                    </pic:cNvPicPr>
                  </pic:nvPicPr>
                  <pic:blipFill>
                    <a:blip r:embed="rId112"/>
                    <a:stretch>
                      <a:fillRect/>
                    </a:stretch>
                  </pic:blipFill>
                  <pic:spPr bwMode="auto">
                    <a:xfrm>
                      <a:off x="0" y="0"/>
                      <a:ext cx="5943600" cy="10974432"/>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A4.</w:t>
      </w:r>
      <w:r>
        <w:t xml:space="preserve"> </w:t>
      </w:r>
      <w:r>
        <w:t xml:space="preserve">Score distribution: High/Medium/Low histograms, filterable by task and role.</w:t>
      </w:r>
    </w:p>
    <w:p>
      <w:pPr>
        <w:pStyle w:val="BodyText"/>
        <w:jc w:val="center"/>
        <w:keepNext/>
        <w:keepLines/>
        <w:widowControl w:val="1"/>
      </w:pPr>
      <w:r>
        <w:drawing>
          <wp:inline>
            <wp:extent cx="5943600" cy="7824324"/>
            <wp:effectExtent b="0" l="0" r="0" t="0"/>
            <wp:docPr descr="Teacher-student interaction matrix" title="" id="116" name="Picture"/>
            <a:graphic>
              <a:graphicData uri="http://schemas.openxmlformats.org/drawingml/2006/picture">
                <pic:pic>
                  <pic:nvPicPr>
                    <pic:cNvPr descr="figures/gallery_fig_interaction_matrix.png" id="117" name="Picture"/>
                    <pic:cNvPicPr>
                      <a:picLocks noChangeArrowheads="1" noChangeAspect="1"/>
                    </pic:cNvPicPr>
                  </pic:nvPicPr>
                  <pic:blipFill>
                    <a:blip r:embed="rId115"/>
                    <a:stretch>
                      <a:fillRect/>
                    </a:stretch>
                  </pic:blipFill>
                  <pic:spPr bwMode="auto">
                    <a:xfrm>
                      <a:off x="0" y="0"/>
                      <a:ext cx="5943600" cy="7824324"/>
                    </a:xfrm>
                    <a:prstGeom prst="rect">
                      <a:avLst/>
                    </a:prstGeom>
                    <a:noFill/>
                    <a:ln w="9525">
                      <a:noFill/>
                      <a:headEnd/>
                      <a:tailEnd/>
                    </a:ln>
                  </pic:spPr>
                </pic:pic>
              </a:graphicData>
            </a:graphic>
          </wp:inline>
        </w:drawing>
      </w:r>
    </w:p>
    <w:p>
      <w:pPr>
        <w:pStyle w:val="BodyText"/>
        <w:jc w:val="both"/>
        <w:keepNext w:val="0"/>
        <w:keepLines w:val="0"/>
        <w:widowControl w:val="1"/>
      </w:pPr>
      <w:r>
        <w:rPr>
          <w:b/>
          <w:bCs/>
        </w:rPr>
        <w:t xml:space="preserve">A5.</w:t>
      </w:r>
      <w:r>
        <w:t xml:space="preserve"> </w:t>
      </w:r>
      <w:r>
        <w:t xml:space="preserve">Interaction matrix: teacher×student pair quality heatmap.</w:t>
      </w:r>
    </w:p>
    <w:bookmarkEnd w:id="118"/>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29" Type="http://schemas.openxmlformats.org/officeDocument/2006/relationships/image" Target="media/rId29.png"/><Relationship Id="rId33" Type="http://schemas.openxmlformats.org/officeDocument/2006/relationships/image" Target="media/rId33.png"/><Relationship Id="rId25" Type="http://schemas.openxmlformats.org/officeDocument/2006/relationships/image" Target="media/rId25.png"/><Relationship Id="rId38" Type="http://schemas.openxmlformats.org/officeDocument/2006/relationships/image" Target="media/rId38.png"/><Relationship Id="rId43" Type="http://schemas.openxmlformats.org/officeDocument/2006/relationships/image" Target="media/rId43.png"/><Relationship Id="rId109" Type="http://schemas.openxmlformats.org/officeDocument/2006/relationships/image" Target="media/rId109.png"/><Relationship Id="rId115" Type="http://schemas.openxmlformats.org/officeDocument/2006/relationships/image" Target="media/rId115.png"/><Relationship Id="rId106" Type="http://schemas.openxmlformats.org/officeDocument/2006/relationships/image" Target="media/rId106.png"/><Relationship Id="rId112" Type="http://schemas.openxmlformats.org/officeDocument/2006/relationships/image" Target="media/rId112.png"/><Relationship Id="rId103" Type="http://schemas.openxmlformats.org/officeDocument/2006/relationships/image" Target="media/rId103.png"/><Relationship Id="rId9" Type="http://schemas.openxmlformats.org/officeDocument/2006/relationships/hyperlink" Target="CoEval.docx" TargetMode="External"/><Relationship Id="rId76" Type="http://schemas.openxmlformats.org/officeDocument/2006/relationships/hyperlink" Target="https://arxiv.org/abs/2104.14337" TargetMode="External"/><Relationship Id="rId52" Type="http://schemas.openxmlformats.org/officeDocument/2006/relationships/hyperlink" Target="https://arxiv.org/abs/2303.16634" TargetMode="External"/><Relationship Id="rId50" Type="http://schemas.openxmlformats.org/officeDocument/2006/relationships/hyperlink" Target="https://arxiv.org/abs/2306.05685" TargetMode="External"/><Relationship Id="rId90" Type="http://schemas.openxmlformats.org/officeDocument/2006/relationships/hyperlink" Target="https://arxiv.org/abs/2308.07201" TargetMode="External"/><Relationship Id="rId94" Type="http://schemas.openxmlformats.org/officeDocument/2006/relationships/hyperlink" Target="https://arxiv.org/abs/2403.07974" TargetMode="External"/><Relationship Id="rId64" Type="http://schemas.openxmlformats.org/officeDocument/2006/relationships/hyperlink" Target="https://arxiv.org/abs/2404.04475" TargetMode="External"/><Relationship Id="rId58" Type="http://schemas.openxmlformats.org/officeDocument/2006/relationships/hyperlink" Target="https://arxiv.org/abs/2404.18796" TargetMode="External"/><Relationship Id="rId72" Type="http://schemas.openxmlformats.org/officeDocument/2006/relationships/hyperlink" Target="https://arxiv.org/abs/2405.00332" TargetMode="External"/><Relationship Id="rId54" Type="http://schemas.openxmlformats.org/officeDocument/2006/relationships/hyperlink" Target="https://arxiv.org/abs/2405.01535" TargetMode="External"/><Relationship Id="rId62" Type="http://schemas.openxmlformats.org/officeDocument/2006/relationships/hyperlink" Target="https://arxiv.org/abs/2406.05761" TargetMode="External"/><Relationship Id="rId92" Type="http://schemas.openxmlformats.org/officeDocument/2006/relationships/hyperlink" Target="https://arxiv.org/abs/2406.19314" TargetMode="External"/><Relationship Id="rId66" Type="http://schemas.openxmlformats.org/officeDocument/2006/relationships/hyperlink" Target="https://arxiv.org/abs/2407.08351" TargetMode="External"/><Relationship Id="rId56" Type="http://schemas.openxmlformats.org/officeDocument/2006/relationships/hyperlink" Target="https://arxiv.org/abs/2407.10817" TargetMode="External"/><Relationship Id="rId98" Type="http://schemas.openxmlformats.org/officeDocument/2006/relationships/hyperlink" Target="https://arxiv.org/abs/2408.08808" TargetMode="External"/><Relationship Id="rId82" Type="http://schemas.openxmlformats.org/officeDocument/2006/relationships/hyperlink" Target="https://arxiv.org/abs/2410.02736" TargetMode="External"/><Relationship Id="rId60" Type="http://schemas.openxmlformats.org/officeDocument/2006/relationships/hyperlink" Target="https://arxiv.org/abs/2410.12784" TargetMode="External"/><Relationship Id="rId84" Type="http://schemas.openxmlformats.org/officeDocument/2006/relationships/hyperlink" Target="https://arxiv.org/abs/2410.21819" TargetMode="External"/><Relationship Id="rId68" Type="http://schemas.openxmlformats.org/officeDocument/2006/relationships/hyperlink" Target="https://arxiv.org/abs/2410.22584" TargetMode="External"/><Relationship Id="rId86" Type="http://schemas.openxmlformats.org/officeDocument/2006/relationships/hyperlink" Target="https://arxiv.org/abs/2411.15594" TargetMode="External"/><Relationship Id="rId88" Type="http://schemas.openxmlformats.org/officeDocument/2006/relationships/hyperlink" Target="https://arxiv.org/abs/2411.16594" TargetMode="External"/><Relationship Id="rId78" Type="http://schemas.openxmlformats.org/officeDocument/2006/relationships/hyperlink" Target="https://arxiv.org/abs/2502.01534" TargetMode="External"/><Relationship Id="rId74" Type="http://schemas.openxmlformats.org/officeDocument/2006/relationships/hyperlink" Target="https://arxiv.org/abs/2502.14425" TargetMode="External"/><Relationship Id="rId70" Type="http://schemas.openxmlformats.org/officeDocument/2006/relationships/hyperlink" Target="https://arxiv.org/abs/2504.01833" TargetMode="External"/><Relationship Id="rId96" Type="http://schemas.openxmlformats.org/officeDocument/2006/relationships/hyperlink" Target="https://arxiv.org/abs/2504.03846" TargetMode="External"/><Relationship Id="rId100" Type="http://schemas.openxmlformats.org/officeDocument/2006/relationships/hyperlink" Target="https://arxiv.org/abs/2504.17087" TargetMode="External"/><Relationship Id="rId80" Type="http://schemas.openxmlformats.org/officeDocument/2006/relationships/hyperlink" Target="https://arxiv.org/abs/2508.06709"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CoEval.docx" TargetMode="External"/><Relationship Id="rId76" Type="http://schemas.openxmlformats.org/officeDocument/2006/relationships/hyperlink" Target="https://arxiv.org/abs/2104.14337" TargetMode="External"/><Relationship Id="rId52" Type="http://schemas.openxmlformats.org/officeDocument/2006/relationships/hyperlink" Target="https://arxiv.org/abs/2303.16634" TargetMode="External"/><Relationship Id="rId50" Type="http://schemas.openxmlformats.org/officeDocument/2006/relationships/hyperlink" Target="https://arxiv.org/abs/2306.05685" TargetMode="External"/><Relationship Id="rId90" Type="http://schemas.openxmlformats.org/officeDocument/2006/relationships/hyperlink" Target="https://arxiv.org/abs/2308.07201" TargetMode="External"/><Relationship Id="rId94" Type="http://schemas.openxmlformats.org/officeDocument/2006/relationships/hyperlink" Target="https://arxiv.org/abs/2403.07974" TargetMode="External"/><Relationship Id="rId64" Type="http://schemas.openxmlformats.org/officeDocument/2006/relationships/hyperlink" Target="https://arxiv.org/abs/2404.04475" TargetMode="External"/><Relationship Id="rId58" Type="http://schemas.openxmlformats.org/officeDocument/2006/relationships/hyperlink" Target="https://arxiv.org/abs/2404.18796" TargetMode="External"/><Relationship Id="rId72" Type="http://schemas.openxmlformats.org/officeDocument/2006/relationships/hyperlink" Target="https://arxiv.org/abs/2405.00332" TargetMode="External"/><Relationship Id="rId54" Type="http://schemas.openxmlformats.org/officeDocument/2006/relationships/hyperlink" Target="https://arxiv.org/abs/2405.01535" TargetMode="External"/><Relationship Id="rId62" Type="http://schemas.openxmlformats.org/officeDocument/2006/relationships/hyperlink" Target="https://arxiv.org/abs/2406.05761" TargetMode="External"/><Relationship Id="rId92" Type="http://schemas.openxmlformats.org/officeDocument/2006/relationships/hyperlink" Target="https://arxiv.org/abs/2406.19314" TargetMode="External"/><Relationship Id="rId66" Type="http://schemas.openxmlformats.org/officeDocument/2006/relationships/hyperlink" Target="https://arxiv.org/abs/2407.08351" TargetMode="External"/><Relationship Id="rId56" Type="http://schemas.openxmlformats.org/officeDocument/2006/relationships/hyperlink" Target="https://arxiv.org/abs/2407.10817" TargetMode="External"/><Relationship Id="rId98" Type="http://schemas.openxmlformats.org/officeDocument/2006/relationships/hyperlink" Target="https://arxiv.org/abs/2408.08808" TargetMode="External"/><Relationship Id="rId82" Type="http://schemas.openxmlformats.org/officeDocument/2006/relationships/hyperlink" Target="https://arxiv.org/abs/2410.02736" TargetMode="External"/><Relationship Id="rId60" Type="http://schemas.openxmlformats.org/officeDocument/2006/relationships/hyperlink" Target="https://arxiv.org/abs/2410.12784" TargetMode="External"/><Relationship Id="rId84" Type="http://schemas.openxmlformats.org/officeDocument/2006/relationships/hyperlink" Target="https://arxiv.org/abs/2410.21819" TargetMode="External"/><Relationship Id="rId68" Type="http://schemas.openxmlformats.org/officeDocument/2006/relationships/hyperlink" Target="https://arxiv.org/abs/2410.22584" TargetMode="External"/><Relationship Id="rId86" Type="http://schemas.openxmlformats.org/officeDocument/2006/relationships/hyperlink" Target="https://arxiv.org/abs/2411.15594" TargetMode="External"/><Relationship Id="rId88" Type="http://schemas.openxmlformats.org/officeDocument/2006/relationships/hyperlink" Target="https://arxiv.org/abs/2411.16594" TargetMode="External"/><Relationship Id="rId78" Type="http://schemas.openxmlformats.org/officeDocument/2006/relationships/hyperlink" Target="https://arxiv.org/abs/2502.01534" TargetMode="External"/><Relationship Id="rId74" Type="http://schemas.openxmlformats.org/officeDocument/2006/relationships/hyperlink" Target="https://arxiv.org/abs/2502.14425" TargetMode="External"/><Relationship Id="rId70" Type="http://schemas.openxmlformats.org/officeDocument/2006/relationships/hyperlink" Target="https://arxiv.org/abs/2504.01833" TargetMode="External"/><Relationship Id="rId96" Type="http://schemas.openxmlformats.org/officeDocument/2006/relationships/hyperlink" Target="https://arxiv.org/abs/2504.03846" TargetMode="External"/><Relationship Id="rId100" Type="http://schemas.openxmlformats.org/officeDocument/2006/relationships/hyperlink" Target="https://arxiv.org/abs/2504.17087" TargetMode="External"/><Relationship Id="rId80" Type="http://schemas.openxmlformats.org/officeDocument/2006/relationships/hyperlink" Target="https://arxiv.org/abs/2508.06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2026-06-01T07:52:30Z</dcterms:created>
  <dcterms:modified xsi:type="dcterms:W3CDTF">2026-06-01T07:52:30Z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