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tbl>
      <w:tblPr>
        <w:tblW w:type="pct" w:w="5000"/>
        <w:tblLook w:firstColumn="1" w:firstRow="1" w:lastColumn="0" w:lastRow="0" w:noHBand="0" w:noVBand="1" w:val="04A0"/>
        <w:jc w:val="center"/>
        <w:tblBorders>
          <w:top w:val="nil"/>
          <w:left w:val="nil"/>
          <w:bottom w:val="nil"/>
          <w:right w:val="nil"/>
          <w:insideH w:val="nil"/>
          <w:insideV w:val="nil"/>
        </w:tblBorders>
        <w:tblLayout w:type="autofit"/>
      </w:tblPr>
      <w:tblGrid>
        <w:gridCol w:w="4680"/>
        <w:gridCol w:w="4680"/>
      </w:tblGrid>
      <w:tr>
        <w:tc>
          <w:tcPr>
            <w:tcW w:type="dxa" w:w="4680"/>
            <w:tcBorders>
              <w:left w:val="nil"/>
              <w:right w:val="nil"/>
              <w:top w:val="nil"/>
              <w:bottom w:val="nil"/>
            </w:tcBorders>
          </w:tcPr>
          <w:p>
            <w:pPr>
              <w:spacing w:before="0" w:after="40" w:line="240" w:lineRule="auto"/>
              <w:jc w:val="center"/>
            </w:pPr>
            <w:r/>
            <w:r>
              <w:rPr>
                <w:rFonts w:ascii="Times New Roman" w:hAnsi="Times New Roman"/>
                <w:b/>
                <w:i w:val="0"/>
                <w:sz w:val="24"/>
              </w:rPr>
              <w:t>Alexander Apartsin</w:t>
            </w:r>
          </w:p>
        </w:tc>
        <w:tc>
          <w:tcPr>
            <w:tcW w:type="dxa" w:w="4680"/>
            <w:tcBorders>
              <w:left w:val="nil"/>
              <w:right w:val="nil"/>
              <w:top w:val="nil"/>
              <w:bottom w:val="nil"/>
            </w:tcBorders>
          </w:tcPr>
          <w:p>
            <w:pPr>
              <w:spacing w:before="0" w:after="40" w:line="240" w:lineRule="auto"/>
              <w:jc w:val="center"/>
            </w:pPr>
            <w:r/>
            <w:r>
              <w:rPr>
                <w:rFonts w:ascii="Times New Roman" w:hAnsi="Times New Roman"/>
                <w:b/>
                <w:i w:val="0"/>
                <w:sz w:val="24"/>
              </w:rPr>
              <w:t>Yehudit Aperstein</w:t>
            </w:r>
          </w:p>
        </w:tc>
      </w:tr>
      <w:tr>
        <w:tc>
          <w:tcPr>
            <w:tcW w:type="dxa" w:w="4680"/>
            <w:tcBorders>
              <w:left w:val="nil"/>
              <w:right w:val="nil"/>
              <w:top w:val="nil"/>
              <w:bottom w:val="nil"/>
            </w:tcBorders>
          </w:tcPr>
          <w:p>
            <w:pPr>
              <w:spacing w:before="0" w:after="120" w:line="240" w:lineRule="auto"/>
              <w:jc w:val="center"/>
            </w:pPr>
            <w:r/>
            <w:r>
              <w:rPr>
                <w:rFonts w:ascii="Times New Roman" w:hAnsi="Times New Roman"/>
                <w:b w:val="0"/>
                <w:i/>
                <w:sz w:val="20"/>
              </w:rPr>
              <w:t>Holon Institute of Technology, Israel</w:t>
            </w:r>
          </w:p>
        </w:tc>
        <w:tc>
          <w:tcPr>
            <w:tcW w:type="dxa" w:w="4680"/>
            <w:tcBorders>
              <w:left w:val="nil"/>
              <w:right w:val="nil"/>
              <w:top w:val="nil"/>
              <w:bottom w:val="nil"/>
            </w:tcBorders>
          </w:tcPr>
          <w:p>
            <w:pPr>
              <w:spacing w:before="0" w:after="120" w:line="240" w:lineRule="auto"/>
              <w:jc w:val="center"/>
            </w:pPr>
            <w:r/>
            <w:r>
              <w:rPr>
                <w:rFonts w:ascii="Times New Roman" w:hAnsi="Times New Roman"/>
                <w:b w:val="0"/>
                <w:i/>
                <w:sz w:val="20"/>
              </w:rPr>
              <w:t>Afeka Tel Aviv Academic College of Engineering, Israel</w:t>
            </w:r>
          </w:p>
        </w:tc>
      </w:tr>
    </w:tbl>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Choosing or ranking language models for a specific application is hardest when</w:t>
      </w:r>
      <w:r>
        <w:t xml:space="preserve"> </w:t>
      </w:r>
      <w:r>
        <w:rPr>
          <w:i/>
          <w:iCs/>
        </w:rPr>
        <w:t xml:space="preserve">no task-specific labeled data</w:t>
      </w:r>
      <w:r>
        <w:t xml:space="preserve"> </w:t>
      </w:r>
      <w:r>
        <w:t xml:space="preserve">exists and</w:t>
      </w:r>
      <w:r>
        <w:t xml:space="preserve"> </w:t>
      </w:r>
      <w:r>
        <w:rPr>
          <w:i/>
          <w:iCs/>
        </w:rPr>
        <w:t xml:space="preserve">standard public benchmarks cannot be trusted</w:t>
      </w:r>
      <w:r>
        <w:t xml:space="preserve">, their items having likely leaked into pretraining so</w:t>
      </w:r>
      <w:r>
        <w:t xml:space="preserve"> </w:t>
      </w:r>
      <w:r>
        <w:t xml:space="preserve">scores reflect memorization rather than fitness. We present</w:t>
      </w:r>
      <w:r>
        <w:t xml:space="preserve"> </w:t>
      </w:r>
      <w:r>
        <w:rPr>
          <w:b/>
          <w:bCs/>
        </w:rPr>
        <w:t xml:space="preserve">CoEval</w:t>
      </w:r>
      <w:r>
        <w:t xml:space="preserve">, an open-source, reusable framework</w:t>
      </w:r>
      <w:r>
        <w:t xml:space="preserve"> </w:t>
      </w:r>
      <w:r>
        <w:t xml:space="preserve">that closes this gap end to end: from only a description of a task or domain, teacher models synthesize a fresh,</w:t>
      </w:r>
      <w:r>
        <w:t xml:space="preserve"> </w:t>
      </w:r>
      <w:r>
        <w:t xml:space="preserve">attribute-controlled benchmark with</w:t>
      </w:r>
      <w:r>
        <w:t xml:space="preserve"> </w:t>
      </w:r>
      <w:r>
        <w:rPr>
          <w:i/>
          <w:iCs/>
        </w:rPr>
        <w:t xml:space="preserve">no human labels</w:t>
      </w:r>
      <w:r>
        <w:t xml:space="preserve">, contamination-free because items are generated anew on</w:t>
      </w:r>
      <w:r>
        <w:t xml:space="preserve"> </w:t>
      </w:r>
      <w:r>
        <w:t xml:space="preserve">each run, and a cross-family judge ensemble ranks candidate models with no human raters. Validated where ground truth</w:t>
      </w:r>
      <w:r>
        <w:t xml:space="preserve"> </w:t>
      </w:r>
      <w:r>
        <w:t xml:space="preserve">exists, CoEval recovers the true model ranking and tracks ground-truth correctness at</w:t>
      </w:r>
      <w:r>
        <w:t xml:space="preserve"> </w:t>
      </w:r>
      <m:oMath>
        <m:r>
          <m:t>ρ</m:t>
        </m:r>
        <m:r>
          <m:rPr>
            <m:sty m:val="p"/>
          </m:rPr>
          <m:t>=</m:t>
        </m:r>
        <m:r>
          <m:t>0.86</m:t>
        </m:r>
      </m:oMath>
      <w:r>
        <w:t xml:space="preserve">. The label-free</w:t>
      </w:r>
      <w:r>
        <w:t xml:space="preserve"> </w:t>
      </w:r>
      <w:r>
        <w:t xml:space="preserve">judging needs no human calibration because judge-panel</w:t>
      </w:r>
      <w:r>
        <w:t xml:space="preserve"> </w:t>
      </w:r>
      <w:r>
        <w:rPr>
          <w:i/>
          <w:iCs/>
        </w:rPr>
        <w:t xml:space="preserve">composition</w:t>
      </w:r>
      <w:r>
        <w:t xml:space="preserve"> </w:t>
      </w:r>
      <w:r>
        <w:t xml:space="preserve">(vendor diversity), not</w:t>
      </w:r>
      <w:r>
        <w:t xml:space="preserve"> </w:t>
      </w:r>
      <w:r>
        <w:rPr>
          <w:i/>
          <w:iCs/>
        </w:rPr>
        <w:t xml:space="preserve">size</w:t>
      </w:r>
      <w:r>
        <w:t xml:space="preserve">,</w:t>
      </w:r>
      <w:r>
        <w:t xml:space="preserve"> </w:t>
      </w:r>
      <w:r>
        <w:t xml:space="preserve">drives reliability: a small, well-chosen cross-family panel is most reliable, while a single judge can be</w:t>
      </w:r>
      <w:r>
        <w:t xml:space="preserve"> </w:t>
      </w:r>
      <w:r>
        <w:t xml:space="preserve">anti-correlated with ground truth (judge-choice regret</w:t>
      </w:r>
      <w:r>
        <w:t xml:space="preserve"> </w:t>
      </w:r>
      <m:oMath>
        <m:r>
          <m:t>0.35</m:t>
        </m:r>
      </m:oMath>
      <w:r>
        <w:t xml:space="preserve">) and the ensemble never is. Generated items show</w:t>
      </w:r>
      <w:r>
        <w:t xml:space="preserve"> </w:t>
      </w:r>
      <m:oMath>
        <m:r>
          <m:t>0.0000</m:t>
        </m:r>
      </m:oMath>
      <w:r>
        <w:t xml:space="preserve"> </w:t>
      </w:r>
      <w:r>
        <w:t xml:space="preserve">verbatim 13-gram overlap with five major public benchmarks; the panel cancels verbosity bias and precludes</w:t>
      </w:r>
      <w:r>
        <w:t xml:space="preserve"> </w:t>
      </w:r>
      <w:r>
        <w:t xml:space="preserve">same-family self-preference. A four-task study produced 7,978 evaluations for USD 5.89. The same declarative pipeline</w:t>
      </w:r>
      <w:r>
        <w:t xml:space="preserve"> </w:t>
      </w:r>
      <w:r>
        <w:t xml:space="preserve">applies to any domain and is cheap enough to re-run on every model release: a label-free, contamination-free</w:t>
      </w:r>
      <w:r>
        <w:t xml:space="preserve"> </w:t>
      </w:r>
      <w:r>
        <w:t xml:space="preserve">leaderboard any team can regenerate for its own application.</w:t>
      </w: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choosing a language model for a specific application (summarizing clinical notes, answering</w:t>
      </w:r>
      <w:r>
        <w:t xml:space="preserve"> </w:t>
      </w:r>
      <w:r>
        <w:t xml:space="preserve">questions over an internal knowledge base, triaging support tickets for a particular product) faces a</w:t>
      </w:r>
      <w:r>
        <w:t xml:space="preserve"> </w:t>
      </w:r>
      <w:r>
        <w:t xml:space="preserve">deceptively simple question:</w:t>
      </w:r>
      <w:r>
        <w:t xml:space="preserve"> </w:t>
      </w:r>
      <w:r>
        <w:rPr>
          <w:i/>
          <w:iCs/>
        </w:rPr>
        <w:t xml:space="preserve">which model is best for my use case?</w:t>
      </w:r>
      <w:r>
        <w:t xml:space="preserve"> </w:t>
      </w:r>
      <w:r>
        <w:t xml:space="preserve">Answering it well requires an evaluation</w:t>
      </w:r>
      <w:r>
        <w:t xml:space="preserve"> </w:t>
      </w:r>
      <w:r>
        <w:t xml:space="preserve">set that reflects that use case, and two common conditions make this hard. First, there is often</w:t>
      </w:r>
      <w:r>
        <w:t xml:space="preserve"> </w:t>
      </w:r>
      <w:r>
        <w:rPr>
          <w:i/>
          <w:iCs/>
        </w:rPr>
        <w:t xml:space="preserve">no task-specific</w:t>
      </w:r>
      <w:r>
        <w:rPr>
          <w:i/>
          <w:iCs/>
        </w:rPr>
        <w:t xml:space="preserve"> </w:t>
      </w:r>
      <w:r>
        <w:rPr>
          <w:i/>
          <w:iCs/>
        </w:rPr>
        <w:t xml:space="preserve">labeled data</w:t>
      </w:r>
      <w:r>
        <w:t xml:space="preserve">: building a representative benchmark by hand is slow and costly, and for a new or proprietary domain</w:t>
      </w:r>
      <w:r>
        <w:t xml:space="preserve"> </w:t>
      </w:r>
      <w:r>
        <w:t xml:space="preserve">it may not exist at all. Second, even where a related public benchmark exists, its numbers may not be trustworthy:</w:t>
      </w:r>
      <w:r>
        <w:t xml:space="preserve"> </w:t>
      </w:r>
      <w:r>
        <w:t xml:space="preserve">popular benchmarks are increasingly</w:t>
      </w:r>
      <w:r>
        <w:t xml:space="preserve"> </w:t>
      </w:r>
      <w:r>
        <w:rPr>
          <w:i/>
          <w:iCs/>
        </w:rPr>
        <w:t xml:space="preserve">contaminated</w:t>
      </w:r>
      <w:r>
        <w:t xml:space="preserve">, their items having leaked into pretraining corpora, so a</w:t>
      </w:r>
      <w:r>
        <w:t xml:space="preserve"> </w:t>
      </w:r>
      <w:r>
        <w:t xml:space="preserve">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w:t>
      </w:r>
      <w:r>
        <w:t xml:space="preserve"> </w:t>
      </w:r>
      <w:r>
        <w:t xml:space="preserve">When both hold, with no data</w:t>
      </w:r>
      <w:r>
        <w:t xml:space="preserve"> </w:t>
      </w:r>
      <w:r>
        <w:rPr>
          <w:i/>
          <w:iCs/>
        </w:rPr>
        <w:t xml:space="preserve">and</w:t>
      </w:r>
      <w:r>
        <w:t xml:space="preserve"> </w:t>
      </w:r>
      <w:r>
        <w:t xml:space="preserve">no benchmark one can trust, the practitioner is stuck.</w:t>
      </w:r>
      <w:r>
        <w:t xml:space="preserve"> </w:t>
      </w:r>
      <w:r>
        <w:rPr>
          <w:b/>
          <w:bCs/>
        </w:rPr>
        <w:t xml:space="preserve">CoEval</w:t>
      </w:r>
      <w:r>
        <w:t xml:space="preserve"> </w:t>
      </w:r>
      <w:r>
        <w:t xml:space="preserve">is built for exactly this situation: it generates a fresh, domain-targeted evaluation from a task description and</w:t>
      </w:r>
      <w:r>
        <w:t xml:space="preserve"> </w:t>
      </w:r>
      <w:r>
        <w:t xml:space="preserve">ranks candidate models on it, with no labels and no contaminated items.</w:t>
      </w:r>
    </w:p>
    <w:p>
      <w:pPr>
        <w:pStyle w:val="BodyText"/>
        <w:jc w:val="both"/>
        <w:keepNext w:val="0"/>
        <w:keepLines w:val="0"/>
        <w:widowControl w:val="1"/>
      </w:pPr>
      <w:r>
        <w:t xml:space="preserve">The evaluation of large language models is dominated by static, human-curated benchmarks. While these have driven a</w:t>
      </w:r>
      <w:r>
        <w:t xml:space="preserve"> </w:t>
      </w:r>
      <w:r>
        <w:t xml:space="preserve">decade of measurable progress, three structural weaknesses now limit their usefulness for real deployments. First,</w:t>
      </w:r>
      <w:r>
        <w:t xml:space="preserve"> </w:t>
      </w:r>
      <w:r>
        <w:t xml:space="preserve">static benchmarks are</w:t>
      </w:r>
      <w:r>
        <w:t xml:space="preserve"> </w:t>
      </w:r>
      <w:r>
        <w:rPr>
          <w:i/>
          <w:iCs/>
        </w:rPr>
        <w:t xml:space="preserve">non-extensible</w:t>
      </w:r>
      <w:r>
        <w:t xml:space="preserve">: extending a benchmark to a new capability, domain, or difficulty band</w:t>
      </w:r>
      <w:r>
        <w:t xml:space="preserve"> </w:t>
      </w:r>
      <w:r>
        <w:t xml:space="preserve">requires fresh human annotation, which is slow and expensive. Second, they are</w:t>
      </w:r>
      <w:r>
        <w:t xml:space="preserve"> </w:t>
      </w:r>
      <w:r>
        <w:rPr>
          <w:i/>
          <w:iCs/>
        </w:rPr>
        <w:t xml:space="preserve">contamination-prone</w:t>
      </w:r>
      <w:r>
        <w:t xml:space="preserve">: as models</w:t>
      </w:r>
      <w:r>
        <w:t xml:space="preserve"> </w:t>
      </w:r>
      <w:r>
        <w:t xml:space="preserve">ingest ever-larger web crawls, public test items leak into pretraining corpora, and measured performance reflects</w:t>
      </w:r>
      <w:r>
        <w:t xml:space="preserve"> </w:t>
      </w:r>
      <w:r>
        <w:t xml:space="preserve">memorization rather than generalization [</w:t>
      </w:r>
      <w:hyperlink w:anchor="r12">
        <w:r>
          <w:rPr>
            <w:rStyle w:val="Hyperlink"/>
          </w:rPr>
          <w:t xml:space="preserve">12</w:t>
        </w:r>
      </w:hyperlink>
      <w:r>
        <w:t xml:space="preserve">,</w:t>
      </w:r>
      <w:r>
        <w:t xml:space="preserve"> </w:t>
      </w:r>
      <w:hyperlink w:anchor="r13">
        <w:r>
          <w:rPr>
            <w:rStyle w:val="Hyperlink"/>
          </w:rPr>
          <w:t xml:space="preserve">13</w:t>
        </w:r>
      </w:hyperlink>
      <w:r>
        <w:t xml:space="preserve">]. Third, they are</w:t>
      </w:r>
      <w:r>
        <w:t xml:space="preserve"> </w:t>
      </w:r>
      <w:r>
        <w:rPr>
          <w:i/>
          <w:iCs/>
        </w:rPr>
        <w:t xml:space="preserve">generic</w:t>
      </w:r>
      <w:r>
        <w:t xml:space="preserve">: a fixed benchmark measures an average-case distribution that rarely matches the input distribution,</w:t>
      </w:r>
      <w:r>
        <w:t xml:space="preserve"> </w:t>
      </w:r>
      <w:r>
        <w:t xml:space="preserve">scoring criteria, or edge cases of any particular production system.</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w:t>
      </w:r>
      <w:r>
        <w:t xml:space="preserve"> </w:t>
      </w:r>
      <w:r>
        <w:t xml:space="preserve">scoring: a capable model grades free-form responses against a rubric at a fraction of the cost of human raters. But a</w:t>
      </w:r>
      <w:r>
        <w:t xml:space="preserve"> </w:t>
      </w:r>
      <w:r>
        <w:t xml:space="preserve">single judge is not a neutral instrument. Judges exhibit</w:t>
      </w:r>
      <w:r>
        <w:t xml:space="preserve"> </w:t>
      </w:r>
      <w:r>
        <w:rPr>
          <w:i/>
          <w:iCs/>
        </w:rPr>
        <w:t xml:space="preserve">positional bias</w:t>
      </w:r>
      <w:r>
        <w:t xml:space="preserve"> </w:t>
      </w:r>
      <w:r>
        <w:t xml:space="preserve">(preferring the first option in a</w:t>
      </w:r>
      <w:r>
        <w:t xml:space="preserve"> </w:t>
      </w:r>
      <w:r>
        <w:t xml:space="preserve">pairwise comparison),</w:t>
      </w:r>
      <w:r>
        <w:t xml:space="preserve"> </w:t>
      </w:r>
      <w:r>
        <w:rPr>
          <w:i/>
          <w:iCs/>
        </w:rPr>
        <w:t xml:space="preserve">verbosity bias</w:t>
      </w:r>
      <w:r>
        <w:t xml:space="preserve"> </w:t>
      </w:r>
      <w:r>
        <w:t xml:space="preserve">(rewarding longer answers irrespective of quality)</w:t>
      </w:r>
      <w:r>
        <w:t xml:space="preserve"> </w:t>
      </w:r>
      <w:r>
        <w:t xml:space="preserve">[</w:t>
      </w:r>
      <w:hyperlink w:anchor="r8">
        <w:r>
          <w:rPr>
            <w:rStyle w:val="Hyperlink"/>
          </w:rPr>
          <w:t xml:space="preserve">8</w:t>
        </w:r>
      </w:hyperlink>
      <w:r>
        <w:t xml:space="preserve">], and</w:t>
      </w:r>
      <w:r>
        <w:t xml:space="preserve"> </w:t>
      </w:r>
      <w:r>
        <w:rPr>
          <w:i/>
          <w:iCs/>
        </w:rPr>
        <w:t xml:space="preserve">self-preference bias</w:t>
      </w:r>
      <w:r>
        <w:t xml:space="preserve"> </w:t>
      </w:r>
      <w:r>
        <w:t xml:space="preserve">(scoring outputs from their own model family more</w:t>
      </w:r>
      <w:r>
        <w:t xml:space="preserve"> </w:t>
      </w:r>
      <w:r>
        <w:t xml:space="preserve">favorably). A measurement built on a single biased instrument inherits that instrument's distortions wholesale.</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that:</w:t>
      </w:r>
    </w:p>
    <w:p>
      <w:pPr>
        <w:pStyle w:val="Compact"/>
        <w:numPr>
          <w:ilvl w:val="0"/>
          <w:numId w:val="1001"/>
        </w:numPr>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 and the generated items are</w:t>
      </w:r>
      <w:r>
        <w:t xml:space="preserve"> </w:t>
      </w:r>
      <w:r>
        <w:rPr>
          <w:i/>
          <w:iCs/>
        </w:rPr>
        <w:t xml:space="preserve">discriminative</w:t>
      </w:r>
      <w:r>
        <w:t xml:space="preserve">, separating candidate models (most carry ranking signal), the property a benchmark needs to</w:t>
      </w:r>
      <w:r>
        <w:t xml:space="preserve"> </w:t>
      </w:r>
      <w:r>
        <w:t xml:space="preserve">rank them rather than saturate.</w:t>
      </w:r>
    </w:p>
    <w:p>
      <w:pPr>
        <w:pStyle w:val="Compact"/>
        <w:numPr>
          <w:ilvl w:val="0"/>
          <w:numId w:val="1001"/>
        </w:numPr>
        <w:jc w:val="both"/>
        <w:keepNext w:val="0"/>
        <w:keepLines w:val="0"/>
        <w:widowControl w:val="1"/>
      </w:pPr>
      <w:r>
        <w:rPr>
          <w:b/>
          <w:bCs/>
        </w:rPr>
        <w:t xml:space="preserve">(2) A self-validating cross-family judge panel: composition over size.</w:t>
      </w:r>
      <w:r>
        <w:t xml:space="preserve"> </w:t>
      </w:r>
      <w:r>
        <w:t xml:space="preserve">Responses are scored by</w:t>
      </w:r>
      <w:r>
        <w:t xml:space="preserve"> </w:t>
      </w:r>
      <w:r>
        <w:t xml:space="preserve">judges drawn from distinct model vendors. Our central finding is that</w:t>
      </w:r>
      <w:r>
        <w:t xml:space="preserve"> </w:t>
      </w:r>
      <w:r>
        <w:rPr>
          <w:i/>
          <w:iCs/>
        </w:rPr>
        <w:t xml:space="preserve">composition</w:t>
      </w:r>
      <w:r>
        <w:t xml:space="preserve"> </w:t>
      </w:r>
      <w:r>
        <w:t xml:space="preserve">(vendor diversity), not</w:t>
      </w:r>
      <w:r>
        <w:t xml:space="preserve"> </w:t>
      </w:r>
      <w:r>
        <w:t xml:space="preserve">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 Crucially, the panel also</w:t>
      </w:r>
      <w:r>
        <w:t xml:space="preserve"> </w:t>
      </w:r>
      <w:r>
        <w:rPr>
          <w:i/>
          <w:iCs/>
        </w:rPr>
        <w:t xml:space="preserve">audits itself</w:t>
      </w:r>
      <w:r>
        <w:t xml:space="preserve">: a judge's</w:t>
      </w:r>
      <w:r>
        <w:t xml:space="preserve"> </w:t>
      </w:r>
      <w:r>
        <w:t xml:space="preserve">agreement with the rest is a label-free estimate of its reliability, so the ensemble detects and down-weights broken</w:t>
      </w:r>
      <w:r>
        <w:t xml:space="preserve"> </w:t>
      </w:r>
      <w:r>
        <w:t xml:space="preserve">judges (a random, constant, or anti-correlated judge is driven to zero weight) with no ground truth, something a</w:t>
      </w:r>
      <w:r>
        <w:t xml:space="preserve"> </w:t>
      </w:r>
      <w:r>
        <w:t xml:space="preserve">single judge cannot do.</w:t>
      </w:r>
    </w:p>
    <w:p>
      <w:pPr>
        <w:pStyle w:val="Compact"/>
        <w:numPr>
          <w:ilvl w:val="0"/>
          <w:numId w:val="1001"/>
        </w:numPr>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jc w:val="both"/>
        <w:keepNext w:val="0"/>
        <w:keepLines w:val="0"/>
        <w:widowControl w:val="1"/>
      </w:pPr>
      <w:r>
        <w:rPr>
          <w:b/>
          <w:bCs/>
        </w:rPr>
        <w:t xml:space="preserve">(4) A reusable, open framework, not a one-off benchmark.</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supplied declaratively at whatever level of detail the</w:t>
      </w:r>
      <w:r>
        <w:t xml:space="preserve"> </w:t>
      </w:r>
      <w:r>
        <w:t xml:space="preserve">practitioner has, from a one-line objective that the framework expands into a complete configuration, through a</w:t>
      </w:r>
      <w:r>
        <w:t xml:space="preserve"> </w:t>
      </w:r>
      <w:r>
        <w:t xml:space="preserve">minimal task description, to a fully hand-written specification. The</w:t>
      </w:r>
      <w:r>
        <w:t xml:space="preserve"> </w:t>
      </w:r>
      <w:r>
        <w:rPr>
          <w:i/>
          <w:iCs/>
        </w:rPr>
        <w:t xml:space="preserve">same</w:t>
      </w:r>
      <w:r>
        <w:t xml:space="preserve"> </w:t>
      </w:r>
      <w:r>
        <w:t xml:space="preserve">pipeline applies unchanged to any</w:t>
      </w:r>
      <w:r>
        <w:t xml:space="preserve"> </w:t>
      </w:r>
      <w:r>
        <w:t xml:space="preserve">domain and is cheap enough to re-run on every model release, so a team obtains a renewable, application-specific</w:t>
      </w:r>
      <w:r>
        <w:t xml:space="preserve"> </w:t>
      </w:r>
      <w:r>
        <w:t xml:space="preserve">benchmark rather than a fixed leaderboard. Ranking candidate models on a custom use case requires only this</w:t>
      </w:r>
      <w:r>
        <w:t xml:space="preserve"> </w:t>
      </w:r>
      <w:r>
        <w:t xml:space="preserve">specification, and CoEval recovers the correct ground-truth ranking wherever one exists to check against</w:t>
      </w:r>
      <w:r>
        <w:t xml:space="preserve"> </w:t>
      </w:r>
      <w:r>
        <w:t xml:space="preserve">(Section 5.1, Table 3). The whole pipeline is open-source and reproducible from a single declarative</w:t>
      </w:r>
      <w:r>
        <w:t xml:space="preserve"> </w:t>
      </w:r>
      <w:r>
        <w:t xml:space="preserve">configuration file.</w:t>
      </w:r>
    </w:p>
    <w:p>
      <w:pPr>
        <w:pStyle w:val="FirstParagraph"/>
        <w:jc w:val="both"/>
        <w:keepNext w:val="0"/>
        <w:keepLines w:val="0"/>
        <w:widowControl w:val="1"/>
      </w:pPr>
      <w:r>
        <w:t xml:space="preserve">CoEval requires no human annotation. In a four-task medium-scale study it produced 7,978 valid evaluations for</w:t>
      </w:r>
      <w:r>
        <w:t xml:space="preserve"> </w:t>
      </w:r>
      <w:r>
        <w:t xml:space="preserve">USD 5.89 end-to-end.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end-to-end domain case studies on three custom verticals, and a demonstration that model rankings are domain-specific, so a generic leaderboard misdirects three of four domain practitioners.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is, to our knowledge, the first to combine all three: contamination-free,</w:t>
      </w:r>
      <w:r>
        <w:t xml:space="preserve"> </w:t>
      </w:r>
      <w:r>
        <w:t xml:space="preserve">label-free, domain-targeted generation with a reliability-controlled cross-family judge ensemble, into a single</w:t>
      </w:r>
      <w:r>
        <w:t xml:space="preserve"> </w:t>
      </w:r>
      <w:r>
        <w:t xml:space="preserve">tool aimed at the no-data, untrusted-benchmark regime. 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w:t>
      </w:r>
      <w:r>
        <w:t xml:space="preserve"> </w:t>
      </w:r>
      <w:r>
        <w:t xml:space="preserve">preference, and documented its biases. G-Eval [</w:t>
      </w:r>
      <w:hyperlink w:anchor="r2">
        <w:r>
          <w:rPr>
            <w:rStyle w:val="Hyperlink"/>
          </w:rPr>
          <w:t xml:space="preserve">2</w:t>
        </w:r>
      </w:hyperlink>
      <w:r>
        <w:t xml:space="preserve">] uses a single strong model with</w:t>
      </w:r>
      <w:r>
        <w:t xml:space="preserve"> </w:t>
      </w:r>
      <w:r>
        <w:t xml:space="preserve">chain-of-thought to score generation quality against a user-supplied rubric, while Prometheus 2</w:t>
      </w:r>
      <w:r>
        <w:t xml:space="preserve"> </w:t>
      </w:r>
      <w:r>
        <w:t xml:space="preserve">[</w:t>
      </w:r>
      <w:hyperlink w:anchor="r3">
        <w:r>
          <w:rPr>
            <w:rStyle w:val="Hyperlink"/>
          </w:rPr>
          <w:t xml:space="preserve">3</w:t>
        </w:r>
      </w:hyperlink>
      <w:r>
        <w:t xml:space="preserve">] trains a dedicated open evaluator.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 [</w:t>
      </w:r>
      <w:hyperlink w:anchor="r4">
        <w:r>
          <w:rPr>
            <w:rStyle w:val="Hyperlink"/>
          </w:rPr>
          <w:t xml:space="preserve">4</w:t>
        </w:r>
      </w:hyperlink>
      <w:r>
        <w:t xml:space="preserve">]</w:t>
      </w:r>
      <w:r>
        <w:t xml:space="preserve"> </w:t>
      </w:r>
      <w:r>
        <w:t xml:space="preserve">and JudgeBench [</w:t>
      </w:r>
      <w:hyperlink w:anchor="r6">
        <w:r>
          <w:rPr>
            <w:rStyle w:val="Hyperlink"/>
          </w:rPr>
          <w:t xml:space="preserve">6</w:t>
        </w:r>
      </w:hyperlink>
      <w:r>
        <w:t xml:space="preserve">] study the reliability of judge models, and BiGGen-Bench</w:t>
      </w:r>
      <w:r>
        <w:t xml:space="preserve"> </w:t>
      </w:r>
      <w:r>
        <w:t xml:space="preserve">[</w:t>
      </w:r>
      <w:hyperlink w:anchor="r7">
        <w:r>
          <w:rPr>
            <w:rStyle w:val="Hyperlink"/>
          </w:rPr>
          <w:t xml:space="preserve">7</w:t>
        </w:r>
      </w:hyperlink>
      <w:r>
        <w:t xml:space="preserve">] 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 [</w:t>
      </w:r>
      <w:hyperlink w:anchor="r21">
        <w:r>
          <w:rPr>
            <w:rStyle w:val="Hyperlink"/>
          </w:rPr>
          <w:t xml:space="preserve">21</w:t>
        </w:r>
      </w:hyperlink>
      <w:r>
        <w:t xml:space="preserve">] and</w:t>
      </w:r>
      <w:r>
        <w:t xml:space="preserve"> </w:t>
      </w:r>
      <w:r>
        <w:t xml:space="preserve">meta-judge frameworks [</w:t>
      </w:r>
      <w:hyperlink w:anchor="r26">
        <w:r>
          <w:rPr>
            <w:rStyle w:val="Hyperlink"/>
          </w:rPr>
          <w:t xml:space="preserve">26</w:t>
        </w:r>
      </w:hyperlink>
      <w:r>
        <w:t xml:space="preserve">] 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 finding that frontier models favor</w:t>
      </w:r>
      <w:r>
        <w:t xml:space="preserve"> </w:t>
      </w:r>
      <w:r>
        <w:t xml:space="preserve">same-family outputs. Self-preference has been characterized mechanistically [</w:t>
      </w:r>
      <w:hyperlink w:anchor="r18">
        <w:r>
          <w:rPr>
            <w:rStyle w:val="Hyperlink"/>
          </w:rPr>
          <w:t xml:space="preserve">18</w:t>
        </w:r>
      </w:hyperlink>
      <w:r>
        <w:t xml:space="preserve">] and</w:t>
      </w:r>
      <w:r>
        <w:t xml:space="preserve"> </w:t>
      </w:r>
      <w:r>
        <w:t xml:space="preserve">partly attributed to legitimate capability rather than pure bias [</w:t>
      </w:r>
      <w:hyperlink w:anchor="r24">
        <w:r>
          <w:rPr>
            <w:rStyle w:val="Hyperlink"/>
          </w:rPr>
          <w:t xml:space="preserve">24</w:t>
        </w:r>
      </w:hyperlink>
      <w:r>
        <w:t xml:space="preserve">]. Broad bias</w:t>
      </w:r>
      <w:r>
        <w:t xml:space="preserve"> </w:t>
      </w:r>
      <w:r>
        <w:t xml:space="preserve">taxonomies [</w:t>
      </w:r>
      <w:hyperlink w:anchor="r17">
        <w:r>
          <w:rPr>
            <w:rStyle w:val="Hyperlink"/>
          </w:rPr>
          <w:t xml:space="preserve">17</w:t>
        </w:r>
      </w:hyperlink>
      <w:r>
        <w:t xml:space="preserve">] and recent surveys [</w:t>
      </w:r>
      <w:hyperlink w:anchor="r19">
        <w:r>
          <w:rPr>
            <w:rStyle w:val="Hyperlink"/>
          </w:rPr>
          <w:t xml:space="preserve">19</w:t>
        </w:r>
      </w:hyperlink>
      <w:r>
        <w:t xml:space="preserve">,</w:t>
      </w:r>
      <w:r>
        <w:t xml:space="preserve"> </w:t>
      </w:r>
      <w:hyperlink w:anchor="r20">
        <w:r>
          <w:rPr>
            <w:rStyle w:val="Hyperlink"/>
          </w:rPr>
          <w:t xml:space="preserve">20</w:t>
        </w:r>
      </w:hyperlink>
      <w:r>
        <w:t xml:space="preserve">]</w:t>
      </w:r>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 and pairs it with</w:t>
      </w:r>
      <w:r>
        <w:t xml:space="preserve"> </w:t>
      </w:r>
      <w:r>
        <w:t xml:space="preserve">contamination-free item generation, so both items and judges are bias-hardened rather than only the scoring step.</w:t>
      </w:r>
    </w:p>
    <w:p>
      <w:pPr>
        <w:pStyle w:val="BodyText"/>
        <w:jc w:val="both"/>
        <w:keepNext w:val="0"/>
        <w:keepLines w:val="0"/>
        <w:widowControl w:val="1"/>
      </w:pPr>
      <w:r>
        <w:t xml:space="preserve">The idea that a rater's reliability can be inferred from inter-rater agreement, with no ground truth, dates back to</w:t>
      </w:r>
      <w:r>
        <w:t xml:space="preserve"> </w:t>
      </w:r>
      <w:r>
        <w:rPr>
          <w:i/>
          <w:iCs/>
        </w:rPr>
        <w:t xml:space="preserve">Dawid and Skene</w:t>
      </w:r>
      <w:r>
        <w:t xml:space="preserve"> </w:t>
      </w:r>
      <w:r>
        <w:t xml:space="preserve">[</w:t>
      </w:r>
      <w:hyperlink w:anchor="r33">
        <w:r>
          <w:rPr>
            <w:rStyle w:val="Hyperlink"/>
          </w:rPr>
          <w:t xml:space="preserve">33</w:t>
        </w:r>
      </w:hyperlink>
      <w:r>
        <w:t xml:space="preserve">], whose EM algorithm estimates latent labels and per-rater error rates</w:t>
      </w:r>
      <w:r>
        <w:t xml:space="preserve"> </w:t>
      </w:r>
      <w:r>
        <w:t xml:space="preserve">jointly; CoEval applies the same principle to a vendor-disjoint LLM panel, where peer agreement both down-weights and</w:t>
      </w:r>
      <w:r>
        <w:t xml:space="preserve"> </w:t>
      </w:r>
      <w:r>
        <w:t xml:space="preserve">diagnoses unreliable judges (Section 5.2).</w:t>
      </w:r>
      <w:r>
        <w:t xml:space="preserve"> </w:t>
      </w:r>
      <w:r>
        <w:t xml:space="preserve">A parallel and very recent line of work makes judge aggregation itself</w:t>
      </w:r>
      <w:r>
        <w:t xml:space="preserve"> </w:t>
      </w:r>
      <w:r>
        <w:rPr>
          <w:i/>
          <w:iCs/>
        </w:rPr>
        <w:t xml:space="preserve">label-free and reliability-aware</w:t>
      </w:r>
      <w:r>
        <w:t xml:space="preserve">.</w:t>
      </w:r>
      <w:r>
        <w:t xml:space="preserve"> </w:t>
      </w:r>
      <w:r>
        <w:t xml:space="preserve">Judge-aware jury methods learn a per-judge reliability parameter jointly with the model ranking from pairwise</w:t>
      </w:r>
      <w:r>
        <w:t xml:space="preserve"> </w:t>
      </w:r>
      <w:r>
        <w:t xml:space="preserve">comparisons (the judge-discriminator Bradley–Terry model of [</w:t>
      </w:r>
      <w:hyperlink w:anchor="r27">
        <w:r>
          <w:rPr>
            <w:rStyle w:val="Hyperlink"/>
          </w:rPr>
          <w:t xml:space="preserve">27</w:t>
        </w:r>
      </w:hyperlink>
      <w:r>
        <w:t xml:space="preserve">] and the judge-aware ranking</w:t>
      </w:r>
      <w:r>
        <w:t xml:space="preserve"> </w:t>
      </w:r>
      <w:r>
        <w:t xml:space="preserve">framework of [</w:t>
      </w:r>
      <w:hyperlink w:anchor="r29">
        <w:r>
          <w:rPr>
            <w:rStyle w:val="Hyperlink"/>
          </w:rPr>
          <w:t xml:space="preserve">29</w:t>
        </w:r>
      </w:hyperlink>
      <w:r>
        <w:t xml:space="preserve">]), and confounder-aware aggregation [</w:t>
      </w:r>
      <w:hyperlink w:anchor="r28">
        <w:r>
          <w:rPr>
            <w:rStyle w:val="Hyperlink"/>
          </w:rPr>
          <w:t xml:space="preserve">28</w:t>
        </w:r>
      </w:hyperlink>
      <w:r>
        <w:t xml:space="preserve">] separates true</w:t>
      </w:r>
      <w:r>
        <w:t xml:space="preserve"> </w:t>
      </w:r>
      <w:r>
        <w:t xml:space="preserve">quality from shared judge confounders without ground-truth labels. CoEval's unsupervised reliability-weighted</w:t>
      </w:r>
      <w:r>
        <w:t xml:space="preserve"> </w:t>
      </w:r>
      <w:r>
        <w:t xml:space="preserve">aggregator (Section 5.2) shares this label-free goal, and our contribution is not the aggregator in isolation but</w:t>
      </w:r>
      <w:r>
        <w:t xml:space="preserve"> </w:t>
      </w:r>
      <w:r>
        <w:t xml:space="preserve">its</w:t>
      </w:r>
      <w:r>
        <w:t xml:space="preserve"> </w:t>
      </w:r>
      <w:r>
        <w:rPr>
          <w:i/>
          <w:iCs/>
        </w:rPr>
        <w:t xml:space="preserve">integration</w:t>
      </w:r>
      <w:r>
        <w:t xml:space="preserve"> </w:t>
      </w:r>
      <w:r>
        <w:t xml:space="preserve">with the rest of the loop: these methods assume a fixed, externally supplied item set, scored</w:t>
      </w:r>
      <w:r>
        <w:t xml:space="preserve"> </w:t>
      </w:r>
      <w:r>
        <w:t xml:space="preserve">as pairwise comparisons by a single-vendor judge pool, whereas CoEval supplies the items themselves (generated de novo</w:t>
      </w:r>
      <w:r>
        <w:t xml:space="preserve"> </w:t>
      </w:r>
      <w:r>
        <w:t xml:space="preserve">and contamination-free) and scores them as rubric-anchored absolute scores from a</w:t>
      </w:r>
      <w:r>
        <w:t xml:space="preserve"> </w:t>
      </w:r>
      <w:r>
        <w:rPr>
          <w:i/>
          <w:iCs/>
        </w:rPr>
        <w:t xml:space="preserve">vendor-disjoint</w:t>
      </w:r>
      <w:r>
        <w:t xml:space="preserve"> </w:t>
      </w:r>
      <w:r>
        <w:t xml:space="preserve">panel, so</w:t>
      </w:r>
      <w:r>
        <w:t xml:space="preserve"> </w:t>
      </w:r>
      <w:r>
        <w:t xml:space="preserve">the item supply and the judge pool are both bias-hardened rather than only the aggregation step. Owning the whole loop</w:t>
      </w:r>
      <w:r>
        <w:t xml:space="preserve"> </w:t>
      </w:r>
      <w:r>
        <w:t xml:space="preserve">is what surfaces the</w:t>
      </w:r>
      <w:r>
        <w:t xml:space="preserve"> </w:t>
      </w:r>
      <w:r>
        <w:rPr>
          <w:i/>
          <w:iCs/>
        </w:rPr>
        <w:t xml:space="preserve">judge-choice regret</w:t>
      </w:r>
      <w:r>
        <w:t xml:space="preserve"> </w:t>
      </w:r>
      <w:r>
        <w:t xml:space="preserve">of Section 5.2: a single judge can be anti-correlated with</w:t>
      </w:r>
      <w:r>
        <w:t xml:space="preserve"> </w:t>
      </w:r>
      <w:r>
        <w:t xml:space="preserve">ground truth where the cross-family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AutoBencher [</w:t>
      </w:r>
      <w:hyperlink w:anchor="r9">
        <w:r>
          <w:rPr>
            <w:rStyle w:val="Hyperlink"/>
          </w:rPr>
          <w:t xml:space="preserve">9</w:t>
        </w:r>
      </w:hyperlink>
      <w:r>
        <w:t xml:space="preserve">] searches for benchmark questions that optimize difficulty and novelty,</w:t>
      </w:r>
      <w:r>
        <w:t xml:space="preserve"> </w:t>
      </w:r>
      <w:r>
        <w:t xml:space="preserve">but evaluates with a</w:t>
      </w:r>
      <w:r>
        <w:t xml:space="preserve"> </w:t>
      </w:r>
      <w:r>
        <w:rPr>
          <w:i/>
          <w:iCs/>
        </w:rPr>
        <w:t xml:space="preserve">single</w:t>
      </w:r>
      <w:r>
        <w:t xml:space="preserve"> </w:t>
      </w:r>
      <w:r>
        <w:t xml:space="preserve">judge and does not enforce cross-family scoring or role separation. CoEval adds a</w:t>
      </w:r>
      <w:r>
        <w:t xml:space="preserve"> </w:t>
      </w:r>
      <w:r>
        <w:t xml:space="preserve">cross-family multi-judge layer, explicit teacher/student/judge role separation, and continuous inter-judge agreement</w:t>
      </w:r>
      <w:r>
        <w:t xml:space="preserve"> </w:t>
      </w:r>
      <w:r>
        <w:t xml:space="preserve">monitoring. BenchAgents [</w:t>
      </w:r>
      <w:hyperlink w:anchor="r10">
        <w:r>
          <w:rPr>
            <w:rStyle w:val="Hyperlink"/>
          </w:rPr>
          <w:t xml:space="preserve">10</w:t>
        </w:r>
      </w:hyperlink>
      <w:r>
        <w:t xml:space="preserve">] and YourBench [</w:t>
      </w:r>
      <w:hyperlink w:anchor="r11">
        <w:r>
          <w:rPr>
            <w:rStyle w:val="Hyperlink"/>
          </w:rPr>
          <w:t xml:space="preserve">11</w:t>
        </w:r>
      </w:hyperlink>
      <w:r>
        <w:t xml:space="preserve">] likewise</w:t>
      </w:r>
      <w:r>
        <w:t xml:space="preserve"> </w:t>
      </w:r>
      <w:r>
        <w:t xml:space="preserve">automate benchmark construction; CoEval's distinguishing feature is attribute-</w:t>
      </w:r>
      <w:r>
        <w:rPr>
          <w:i/>
          <w:iCs/>
        </w:rPr>
        <w:t xml:space="preserve">stratified</w:t>
      </w:r>
      <w:r>
        <w:t xml:space="preserve"> </w:t>
      </w:r>
      <w:r>
        <w:t xml:space="preserve">coverage: the</w:t>
      </w:r>
      <w:r>
        <w:t xml:space="preserve"> </w:t>
      </w:r>
      <w:r>
        <w:t xml:space="preserve">sampler allocates a per-stratum floor of items to each declared attribute combination, coupled to bias-cancelled</w:t>
      </w:r>
      <w:r>
        <w:t xml:space="preserve"> </w:t>
      </w:r>
      <w:r>
        <w:t xml:space="preserve">scoring. The contamination motivation is sharpened by GSM1k</w:t>
      </w:r>
      <w:r>
        <w:t xml:space="preserve"> </w:t>
      </w:r>
      <w:r>
        <w:t xml:space="preserve">[</w:t>
      </w:r>
      <w:hyperlink w:anchor="r12">
        <w:r>
          <w:rPr>
            <w:rStyle w:val="Hyperlink"/>
          </w:rPr>
          <w:t xml:space="preserve">12</w:t>
        </w:r>
      </w:hyperlink>
      <w:r>
        <w:t xml:space="preserve">], which exposed memorization on grade-school arithmetic, and by recent surveys of</w:t>
      </w:r>
      <w:r>
        <w:t xml:space="preserve"> </w:t>
      </w:r>
      <w:r>
        <w:t xml:space="preserve">data contamination in LLMs [</w:t>
      </w:r>
      <w:hyperlink w:anchor="r13">
        <w:r>
          <w:rPr>
            <w:rStyle w:val="Hyperlink"/>
          </w:rPr>
          <w:t xml:space="preserve">13</w:t>
        </w:r>
      </w:hyperlink>
      <w:r>
        <w:t xml:space="preserve">]. Live benchmarks such as LiveBench</w:t>
      </w:r>
      <w:r>
        <w:t xml:space="preserve"> </w:t>
      </w:r>
      <w:r>
        <w:t xml:space="preserve">[</w:t>
      </w:r>
      <w:hyperlink w:anchor="r22">
        <w:r>
          <w:rPr>
            <w:rStyle w:val="Hyperlink"/>
          </w:rPr>
          <w:t xml:space="preserve">22</w:t>
        </w:r>
      </w:hyperlink>
      <w:r>
        <w:t xml:space="preserve">] and LiveCodeBench [</w:t>
      </w:r>
      <w:hyperlink w:anchor="r23">
        <w:r>
          <w:rPr>
            <w:rStyle w:val="Hyperlink"/>
          </w:rPr>
          <w:t xml:space="preserve">23</w:t>
        </w:r>
      </w:hyperlink>
      <w:r>
        <w:t xml:space="preserve">] limit leakage by continuously</w:t>
      </w:r>
      <w:r>
        <w:t xml:space="preserve"> </w:t>
      </w:r>
      <w:r>
        <w:t xml:space="preserve">releasing fresh, time-windowed items, but rely on human-curated questions with objective answers and avoid LLM judges;</w:t>
      </w:r>
      <w:r>
        <w:t xml:space="preserve"> </w:t>
      </w:r>
      <w:r>
        <w:t xml:space="preserve">CoEval extends contamination resistance to</w:t>
      </w:r>
      <w:r>
        <w:t xml:space="preserve"> </w:t>
      </w:r>
      <w:r>
        <w:rPr>
          <w:i/>
          <w:iCs/>
        </w:rPr>
        <w:t xml:space="preserve">open-ended, judge-scored</w:t>
      </w:r>
      <w:r>
        <w:t xml:space="preserve"> </w:t>
      </w:r>
      <w:r>
        <w:t xml:space="preserve">tasks by generating fresh,</w:t>
      </w:r>
      <w:r>
        <w:t xml:space="preserve"> </w:t>
      </w:r>
      <w:r>
        <w:t xml:space="preserve">attribute-controlled items on demand. Two recent generators are closest to our item-synthesis step: CHASE</w:t>
      </w:r>
      <w:r>
        <w:t xml:space="preserve"> </w:t>
      </w:r>
      <w:r>
        <w:t xml:space="preserve">[</w:t>
      </w:r>
      <w:hyperlink w:anchor="r30">
        <w:r>
          <w:rPr>
            <w:rStyle w:val="Hyperlink"/>
          </w:rPr>
          <w:t xml:space="preserve">30</w:t>
        </w:r>
      </w:hyperlink>
      <w:r>
        <w:t xml:space="preserve">] composes challenging problems bottom-up from verifiable sub-tasks with no human involvement,</w:t>
      </w:r>
      <w:r>
        <w:t xml:space="preserve"> </w:t>
      </w:r>
      <w:r>
        <w:t xml:space="preserve">and DataMorgana [</w:t>
      </w:r>
      <w:hyperlink w:anchor="r31">
        <w:r>
          <w:rPr>
            <w:rStyle w:val="Hyperlink"/>
          </w:rPr>
          <w:t xml:space="preserve">31</w:t>
        </w:r>
      </w:hyperlink>
      <w:r>
        <w:t xml:space="preserve">] produces configuration-driven synthetic question–answer sets with</w:t>
      </w:r>
      <w:r>
        <w:t xml:space="preserve"> </w:t>
      </w:r>
      <w:r>
        <w:t xml:space="preserve">controllable category distributions, close to our attribute-stratified sampling. Both stop at item generation; CoEval</w:t>
      </w:r>
      <w:r>
        <w:t xml:space="preserve"> </w:t>
      </w:r>
      <w:r>
        <w:t xml:space="preserve">differs by closing the loop to a model</w:t>
      </w:r>
      <w:r>
        <w:t xml:space="preserve"> </w:t>
      </w:r>
      <w:r>
        <w:rPr>
          <w:i/>
          <w:iCs/>
        </w:rPr>
        <w:t xml:space="preserve">ranking</w:t>
      </w:r>
      <w:r>
        <w:t xml:space="preserve">, adding the vendor-disjoint judge panel and label-free</w:t>
      </w:r>
      <w:r>
        <w:t xml:space="preserve"> </w:t>
      </w:r>
      <w:r>
        <w:t xml:space="preserve">aggregation that turn fresh items into a defensible leaderboard. A recent survey of the move from static to dynamic</w:t>
      </w:r>
      <w:r>
        <w:t xml:space="preserve"> </w:t>
      </w:r>
      <w:r>
        <w:t xml:space="preserve">contamination-resistant benchmarks [</w:t>
      </w:r>
      <w:hyperlink w:anchor="r32">
        <w:r>
          <w:rPr>
            <w:rStyle w:val="Hyperlink"/>
          </w:rPr>
          <w:t xml:space="preserve">32</w:t>
        </w:r>
      </w:hyperlink>
      <w:r>
        <w:t xml:space="preserve">] situates this shift. Dynabench [</w:t>
      </w:r>
      <w:hyperlink w:anchor="r14">
        <w:r>
          <w:rPr>
            <w:rStyle w:val="Hyperlink"/>
          </w:rPr>
          <w:t xml:space="preserve">14</w:t>
        </w:r>
      </w:hyperlink>
      <w:r>
        <w:t xml:space="preserve">]</w:t>
      </w:r>
      <w:r>
        <w:t xml:space="preserve"> </w:t>
      </w:r>
      <w:r>
        <w:t xml:space="preserve">proposed dynamic, human-in-the-loop renewal; CoEval automates renewal without humans. Constructing domain-specific evaluation sets for LLM judges</w:t>
      </w:r>
      <w:r>
        <w:t xml:space="preserve"> </w:t>
      </w:r>
      <w:r>
        <w:t xml:space="preserve">[</w:t>
      </w:r>
      <w:hyperlink w:anchor="r25">
        <w:r>
          <w:rPr>
            <w:rStyle w:val="Hyperlink"/>
          </w:rPr>
          <w:t xml:space="preserve">25</w:t>
        </w:r>
      </w:hyperlink>
      <w:r>
        <w:t xml:space="preserve">] targets verticals such as medicine and law; CoEval generates such domain-targeted</w:t>
      </w:r>
      <w:r>
        <w:t xml:space="preserve"> </w:t>
      </w:r>
      <w:r>
        <w:t xml:space="preserve">items automatically within the same pipeline. Length-Controlled AlpacaEval [</w:t>
      </w:r>
      <w:hyperlink w:anchor="r8">
        <w:r>
          <w:rPr>
            <w:rStyle w:val="Hyperlink"/>
          </w:rPr>
          <w:t xml:space="preserve">8</w:t>
        </w:r>
      </w:hyperlink>
      <w:r>
        <w:t xml:space="preserve">] debiases for</w:t>
      </w:r>
      <w:r>
        <w:t xml:space="preserve"> </w:t>
      </w:r>
      <w:r>
        <w:t xml:space="preserve">verbosity post hoc on a single judge; CoEval instead cancels verbosity bias through panel diversity (Section 5.3).</w:t>
      </w:r>
    </w:p>
    <w:bookmarkEnd w:id="13"/>
    <w:bookmarkEnd w:id="14"/>
    <w:bookmarkStart w:id="19"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five-phase pipeline with teacher, student, and judge role bands</w:t>
            </w:r>
          </w:p>
        </w:tc>
      </w:tr>
    </w:tbl>
    <w:p>
      <w:pPr>
        <w:pStyle w:val="ImageCaption"/>
        <w:spacing w:before="80" w:after="120" w:line="240" w:lineRule="auto"/>
        <w:jc w:val="center"/>
        <w:keepNext w:val="0"/>
        <w:keepLines/>
        <w:widowControl w:val="1"/>
      </w:pPr>
      <w:r>
        <w:rPr>
          <w:b/>
          <w:bCs/>
        </w:rPr>
        <w:t xml:space="preserve">Figure 1.</w:t>
      </w:r>
      <w:r>
        <w:t xml:space="preserve"> </w:t>
      </w:r>
      <w:r>
        <w:t xml:space="preserve">The CoEval pipeline. A single pool of models rotates through three roles:</w:t>
      </w:r>
      <w:r>
        <w:t xml:space="preserve"> </w:t>
      </w:r>
      <w:r>
        <w:t xml:space="preserve">teachers map attributes, construct rubrics, and generate fresh benchmark items (Phases 1–3); students</w:t>
      </w:r>
      <w:r>
        <w:t xml:space="preserve"> </w:t>
      </w:r>
      <w:r>
        <w:t xml:space="preserve">produce candidate responses (Phase 4); and a cross-family judge ensemble scores them (Phase 5). The entire</w:t>
      </w:r>
      <w:r>
        <w:t xml:space="preserve"> </w:t>
      </w:r>
      <w:r>
        <w:t xml:space="preserve">run is specified in one declarative configuration.</w:t>
      </w:r>
    </w:p>
    <w:bookmarkStart w:id="15"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(Section 5.4).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5"/>
    <w:bookmarkStart w:id="16"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6"/>
    <w:bookmarkStart w:id="17"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(Section 5.3),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 The default aggregator is the unweighted mean above, with "composition"</w:t>
      </w:r>
      <w:r>
        <w:t xml:space="preserve"> </w:t>
      </w:r>
      <w:r>
        <w:t xml:space="preserve">enforced by judge</w:t>
      </w:r>
      <w:r>
        <w:t xml:space="preserve"> </w:t>
      </w:r>
      <w:r>
        <w:rPr>
          <w:i/>
          <w:iCs/>
        </w:rPr>
        <w:t xml:space="preserve">selection</w:t>
      </w:r>
      <w:r>
        <w:t xml:space="preserve"> </w:t>
      </w:r>
      <w:r>
        <w:t xml:space="preserve">(which judges enter</w:t>
      </w:r>
      <w:r>
        <w:t xml:space="preserve"> </w:t>
      </w:r>
      <m:oMath>
        <m:r>
          <m:t>J</m:t>
        </m:r>
      </m:oMath>
      <w:r>
        <w:t xml:space="preserve">; Section 5.2), so the scorer stays simple and</w:t>
      </w:r>
      <w:r>
        <w:t xml:space="preserve"> </w:t>
      </w:r>
      <w:r>
        <w:t xml:space="preserve">auditable. CoEval additionally offers an</w:t>
      </w:r>
      <w:r>
        <w:t xml:space="preserve"> </w:t>
      </w:r>
      <w:r>
        <w:rPr>
          <w:i/>
          <w:iCs/>
        </w:rPr>
        <w:t xml:space="preserve">unsupervised reliability-weighted</w:t>
      </w:r>
      <w:r>
        <w:t xml:space="preserve"> </w:t>
      </w:r>
      <w:r>
        <w:t xml:space="preserve">aggregator that requires no ground</w:t>
      </w:r>
      <w:r>
        <w:t xml:space="preserve"> </w:t>
      </w:r>
      <w:r>
        <w:t xml:space="preserve">truth: it weights each judge by its mean agreement with the panel consensus,</w:t>
      </w:r>
      <w:r>
        <w:t xml:space="preserve"> </w:t>
      </w:r>
      <m:oMath>
        <m:sSub>
          <m:e>
            <m:r>
              <m:t>w</m:t>
            </m:r>
          </m:e>
          <m:sub>
            <m:r>
              <m:t>j</m:t>
            </m:r>
          </m:sub>
        </m:sSub>
        <m:r>
          <m:rPr>
            <m:sty m:val="p"/>
          </m:rPr>
          <m:t>∝</m:t>
        </m:r>
        <m:sSub>
          <m:e>
            <m:acc>
              <m:accPr>
                <m:chr m:val="‾"/>
              </m:accPr>
              <m:e>
                <m:r>
                  <m:t>r</m:t>
                </m:r>
              </m:e>
            </m:acc>
          </m:e>
          <m:sub>
            <m:r>
              <m:t>j</m:t>
            </m:r>
          </m:sub>
        </m:sSub>
      </m:oMath>
      <w:r>
        <w:t xml:space="preserve"> </w:t>
      </w:r>
      <w:r>
        <w:t xml:space="preserve">with</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so a judge that disagrees with the rest of the panel is automatically down-weighted. It generalizes</w:t>
      </w:r>
      <w:r>
        <w:t xml:space="preserve"> </w:t>
      </w:r>
      <w:r>
        <w:t xml:space="preserve">to a</w:t>
      </w:r>
      <w:r>
        <w:t xml:space="preserve"> </w:t>
      </w:r>
      <w:r>
        <w:rPr>
          <w:b/>
          <w:bCs/>
        </w:rPr>
        <w:t xml:space="preserve">doubly-robust ranking</w:t>
      </w:r>
      <w:r>
        <w:t xml:space="preserve"> </w:t>
      </w:r>
      <w:r>
        <w:t xml:space="preserve">that also weights each item by its</w:t>
      </w:r>
      <w:r>
        <w:t xml:space="preserve"> </w:t>
      </w:r>
      <w:r>
        <w:rPr>
          <w:i/>
          <w:iCs/>
        </w:rPr>
        <w:t xml:space="preserve">discriminative power</w:t>
      </w:r>
      <w:r>
        <w:t xml:space="preserve"> </w:t>
      </w:r>
      <m:oMath>
        <m:sSub>
          <m:e>
            <m:r>
              <m:t>d</m:t>
            </m:r>
          </m:e>
          <m:sub>
            <m:r>
              <m:t>i</m:t>
            </m:r>
          </m:sub>
        </m:sSub>
        <m:r>
          <m:rPr>
            <m:sty m:val="p"/>
          </m:rPr>
          <m:t>∝</m:t>
        </m:r>
        <m:sSub>
          <m:e>
            <m:r>
              <m:rPr>
                <m:sty m:val="p"/>
              </m:rPr>
              <m:t>Var</m:t>
            </m:r>
          </m:e>
          <m:sub>
            <m:r>
              <m:t>m</m:t>
            </m:r>
          </m:sub>
        </m:sSub>
        <m:sSub>
          <m:e>
            <m:r>
              <m:t>s</m:t>
            </m:r>
          </m:e>
          <m:sub>
            <m:r>
              <m:t>m</m:t>
            </m:r>
            <m:r>
              <m:rPr>
                <m:sty m:val="p"/>
              </m:rPr>
              <m:t>,</m:t>
            </m:r>
            <m:r>
              <m:t>i</m:t>
            </m:r>
          </m:sub>
        </m:sSub>
      </m:oMath>
      <w:r>
        <w:t xml:space="preserve"> </w:t>
      </w:r>
      <w:r>
        <w:t xml:space="preserve">(the variance of candidate-model scores on item</w:t>
      </w:r>
      <w:r>
        <w:t xml:space="preserve"> </w:t>
      </w:r>
      <m:oMath>
        <m:r>
          <m:t>i</m:t>
        </m:r>
      </m:oMath>
      <w:r>
        <w:t xml:space="preserve">), so the ranking leans</w:t>
      </w:r>
      <w:r>
        <w:t xml:space="preserve"> </w:t>
      </w:r>
      <w:r>
        <w:t xml:space="preserve">on the items that actually separate models and on the judges that agree with the panel, both label-free: the model</w:t>
      </w:r>
      <w:r>
        <w:t xml:space="preserve"> </w:t>
      </w:r>
      <w:r>
        <w:t xml:space="preserve">score is</w:t>
      </w:r>
      <w:r>
        <w:t xml:space="preserve"> </w:t>
      </w:r>
      <m:oMath>
        <m:nary>
          <m:naryPr>
            <m:chr m:val="∑"/>
            <m:limLoc m:val="undOvr"/>
            <m:subHide m:val="off"/>
            <m:supHide m:val="on"/>
          </m:naryPr>
          <m:sub>
            <m:r>
              <m:t>i</m:t>
            </m:r>
          </m:sub>
          <m:sup>
            <m:r>
              <m:t>​</m:t>
            </m:r>
          </m:sup>
          <m:e>
            <m:sSub>
              <m:e>
                <m:r>
                  <m:t>d</m:t>
                </m:r>
              </m:e>
              <m:sub>
                <m:r>
                  <m:t>i</m:t>
                </m:r>
              </m:sub>
            </m:sSub>
          </m:e>
        </m:nary>
        <m:nary>
          <m:naryPr>
            <m:chr m:val="∑"/>
            <m:limLoc m:val="undOvr"/>
            <m:subHide m:val="off"/>
            <m:supHide m:val="on"/>
          </m:naryPr>
          <m:sub>
            <m:r>
              <m:t>j</m:t>
            </m:r>
          </m:sub>
          <m:sup>
            <m:r>
              <m:t>​</m:t>
            </m:r>
          </m:sup>
          <m:e>
            <m:sSub>
              <m:e>
                <m:r>
                  <m:t>w</m:t>
                </m:r>
              </m:e>
              <m:sub>
                <m:r>
                  <m:t>j</m:t>
                </m:r>
              </m:sub>
            </m:sSub>
          </m:e>
        </m:nary>
        <m:r>
          <m:t> </m:t>
        </m:r>
        <m:sSub>
          <m:e>
            <m:r>
              <m:t>s</m:t>
            </m:r>
          </m:e>
          <m:sub>
            <m:r>
              <m:t>m</m:t>
            </m:r>
            <m:r>
              <m:rPr>
                <m:sty m:val="p"/>
              </m:rPr>
              <m:t>,</m:t>
            </m:r>
            <m:r>
              <m:t>i</m:t>
            </m:r>
            <m:r>
              <m:rPr>
                <m:sty m:val="p"/>
              </m:rPr>
              <m:t>,</m:t>
            </m:r>
            <m:r>
              <m:t>j</m:t>
            </m:r>
          </m:sub>
        </m:sSub>
      </m:oMath>
      <w:r>
        <w:t xml:space="preserve">, normalized. We evaluate these aggregators in Section 5.2.</w:t>
      </w:r>
    </w:p>
    <w:bookmarkEnd w:id="17"/>
    <w:bookmarkStart w:id="18"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18"/>
    <w:bookmarkEnd w:id="19"/>
    <w:bookmarkStart w:id="20"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p>
      <w:pPr>
        <w:pStyle w:val="TableCaption"/>
        <w:spacing w:before="160" w:after="60" w:line="240" w:lineRule="auto"/>
        <w:jc w:val="center"/>
        <w:keepNext/>
        <w:keepLines/>
        <w:widowControl w:val="1"/>
      </w:pPr>
      <w:r>
        <w:rPr>
          <w:b/>
          <w:bCs/>
        </w:rPr>
        <w:t xml:space="preserve">Table 1.</w:t>
      </w:r>
      <w:r>
        <w:t xml:space="preserve"> </w:t>
      </w:r>
      <w:r>
        <w:t xml:space="preserve">Experimental configurations. Judge panels differ by experiment because the</w:t>
      </w:r>
      <w:r>
        <w:t xml:space="preserve"> </w:t>
      </w:r>
      <w:r>
        <w:t xml:space="preserve">ground-truth anchor (5.1) uses a frontier cross-family panel while the bias and reliability studies (5.2–5.3)</w:t>
      </w:r>
      <w:r>
        <w:t xml:space="preserve"> </w:t>
      </w:r>
      <w:r>
        <w:t xml:space="preserve">use a deliberately heterogeneous panel that includes weak open-weight judges; the verticals (5.4, 5.8) reuse one</w:t>
      </w:r>
      <w:r>
        <w:t xml:space="preserve"> </w:t>
      </w:r>
      <w:r>
        <w:t xml:space="preserve">fixed cross-family panel. All students are gpt-4o-mini, gpt-3.5-turbo, and llama-3.2-3b unless noted.</w:t>
      </w:r>
    </w:p>
    <w:tbl>
      <w:tblPr>
        <w:tblStyle w:val="Table"/>
        <w:tblW w:type="pct" w:w="5000"/>
        <w:jc w:val="center"/>
        <w:tblLook w:firstRow="1" w:lastRow="0" w:firstColumn="0" w:lastColumn="0" w:noHBand="0" w:noVBand="0" w:val="0020"/>
        <w:tblCaption w:val="Table 1. Experimental configurations. Judge panels differ by experiment because the ground-truth anchor (5.1) uses a frontier cross-family panel while the bias and reliability studies (5.2–5.3) use a deliberately heterogeneous panel that includes weak open-weight judges; the verticals (5.4, 5.8)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Experiment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Task(s)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Judge panel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Size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5.1 ground truth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SciQ, ARC (exact-match QA)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 claude-sonnet-4, gemini-2.5-flash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191 items / 573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5.1–5.2 benchmark-grounded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code (BLEU), news + text summ. (BERTScore)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 gpt-3.5-turbo, claude-haiku, gemini-flash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 tasks / 900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5.2–5.3, App. 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4-task medium study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 gpt-3.5-turbo, qwen2.5-1.5b, smollm2-1.7b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7,978 eval.</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5.4, 5.7 verticals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drug-interaction, clinical, legal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claude-haiku, gemini-flash,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 items each</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5.5 contamination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SciQ memorization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exact-match (no LLM judge)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200 memorized / 100 fresh</w:t>
            </w:r>
          </w:p>
        </w:tc>
      </w:tr>
    </w:tbl>
    <w:bookmarkEnd w:id="20"/>
    <w:bookmarkStart w:id="29"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3), benchmarked against a single-judge G-Eval baseline. Sections 5.2–5.4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and structurally avoids</w:t>
      </w:r>
      <w:r>
        <w:t xml:space="preserve"> </w:t>
      </w:r>
      <w:r>
        <w:t xml:space="preserve">self-preference (5.4);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5.5 verifies the second condition</w:t>
      </w:r>
      <w:r>
        <w:t xml:space="preserve"> </w:t>
      </w:r>
      <w:r>
        <w:t xml:space="preserve">directly, that the generated items are</w:t>
      </w:r>
      <w:r>
        <w:t xml:space="preserve"> </w:t>
      </w:r>
      <w:r>
        <w:rPr>
          <w:i/>
          <w:iCs/>
        </w:rPr>
        <w:t xml:space="preserve">contamination-free</w:t>
      </w:r>
      <w:r>
        <w:t xml:space="preserve">, and Section 5.5 shows the process is cheap enough to re-run per use case. Section 5.7 exercises the complete tool on three custom verticals (drug interaction, clinical, legal) with no labeled data, and Section 5.8 shows that rankings are domain-specific: across four de-novo domains three different models take first place, so a generic leaderboard misdirects the practitioner that CoEval's per-domain ranking serves.</w:t>
      </w:r>
    </w:p>
    <w:bookmarkStart w:id="21" w:name="ground-truth-correlation"/>
    <w:p>
      <w:pPr>
        <w:pStyle w:val="Heading3"/>
        <w:keepNext/>
        <w:keepLines/>
        <w:widowControl w:val="1"/>
      </w:pPr>
      <w:r>
        <w:t xml:space="preserve">5.1 Ground-truth correlation</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0.28</m:t>
        </m:r>
      </m:oMath>
      <w:r>
        <w:t xml:space="preserve">) and the full-rubric average (</w:t>
      </w:r>
      <m:oMath>
        <m:r>
          <m:t>ρ</m:t>
        </m:r>
        <m:r>
          <m:rPr>
            <m:sty m:val="p"/>
          </m:rPr>
          <m:t>=</m:t>
        </m:r>
        <m:r>
          <m:t>0.57</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pStyle w:val="TableCaption"/>
        <w:spacing w:before="160" w:after="60" w:line="240" w:lineRule="auto"/>
        <w:jc w:val="center"/>
        <w:keepNext/>
        <w:keepLines/>
        <w:widowControl w:val="1"/>
      </w:pPr>
      <w:r>
        <w:rPr>
          <w:b/>
          <w:bCs/>
        </w:rPr>
        <w:t xml:space="preserve">Table 2.</w:t>
      </w:r>
      <w:r>
        <w:t xml:space="preserve"> </w:t>
      </w:r>
      <w:r>
        <w:t xml:space="preserve">Spearman correlation of CoEval accuracy scores with ground-truth correctness on</w:t>
      </w:r>
      <w:r>
        <w:t xml:space="preserve"> </w:t>
      </w:r>
      <w:r>
        <w:t xml:space="preserve">exact-match QA (SciQ, ARC-Challenge;</w:t>
      </w:r>
      <w:r>
        <w:t xml:space="preserve"> </w:t>
      </w:r>
      <m:oMath>
        <m:r>
          <m:t>191</m:t>
        </m:r>
      </m:oMath>
      <w:r>
        <w:t xml:space="preserve"> </w:t>
      </w:r>
      <w:r>
        <w:t xml:space="preserve">datapoints,</w:t>
      </w:r>
      <w:r>
        <w:t xml:space="preserve"> </w:t>
      </w:r>
      <m:oMath>
        <m:r>
          <m:t>573</m:t>
        </m:r>
      </m:oMath>
      <w:r>
        <w:t xml:space="preserve"> </w:t>
      </w:r>
      <w:r>
        <w:t xml:space="preserve">responses; datapoint-clustered 95% bootstrap CI). The</w:t>
      </w:r>
      <w:r>
        <w:t xml:space="preserve"> </w:t>
      </w:r>
      <w:r>
        <w:t xml:space="preserve">frontier cross-family ensemble tracks ground truth at</w:t>
      </w:r>
      <w:r>
        <w:t xml:space="preserve"> </w:t>
      </w:r>
      <m:oMath>
        <m:r>
          <m:t>ρ</m:t>
        </m:r>
        <m:r>
          <m:rPr>
            <m:sty m:val="p"/>
          </m:rPr>
          <m:t>=</m:t>
        </m:r>
        <m:r>
          <m:t>0.86</m:t>
        </m:r>
      </m:oMath>
      <w:r>
        <w:t xml:space="preserve">. The three frontier judges agree on every item;</w:t>
      </w:r>
      <w:r>
        <w:t xml:space="preserve"> </w:t>
      </w:r>
      <w:r>
        <w:t xml:space="preserve">crucially, the weaker auxiliary judges they are contrasted against (Section 5.2) disagree on</w:t>
      </w:r>
      <w:r>
        <w:t xml:space="preserve"> </w:t>
      </w:r>
      <m:oMath>
        <m:r>
          <m:t>3</m:t>
        </m:r>
      </m:oMath>
      <w:r>
        <w:t xml:space="preserve">–</w:t>
      </w:r>
      <m:oMath>
        <m:r>
          <m:t>8</m:t>
        </m:r>
      </m:oMath>
      <w:r>
        <w:t xml:space="preserve"> </w:t>
      </w:r>
      <w:r>
        <w:t xml:space="preserve">items, confirming this is genuine independent convergence of capable judges on objective correctness, not redundancy</w:t>
      </w:r>
      <w:r>
        <w:t xml:space="preserve"> </w:t>
      </w:r>
      <w:r>
        <w:t xml:space="preserve">of identical models.</w:t>
      </w:r>
    </w:p>
    <w:tbl>
      <w:tblPr>
        <w:tblStyle w:val="Table"/>
        <w:tblW w:type="pct" w:w="5000"/>
        <w:jc w:val="center"/>
        <w:tblLook w:firstRow="1" w:lastRow="0" w:firstColumn="0" w:lastColumn="0" w:noHBand="0" w:noVBand="0" w:val="0020"/>
        <w:tblCaption w:val="Table 2. Spearman correlation of CoEval accuracy scores with ground-truth correctness on exact-match QA (SciQ, ARC-Challenge; 191 datapoints, 573 responses; datapoint-clustered 95% bootstrap CI). The frontier cross-family ensemble tracks ground truth at \rho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Evaluator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SciQ</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ARC-Challenge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Overall (clustered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CoEval frontier ensemble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+0.859</w:t>
            </w:r>
            <w:r>
              <w:rPr>
                <w:rFonts w:ascii="Times New Roman" w:hAnsi="Times New Roman"/>
                <w:sz w:val="20"/>
              </w:rPr>
              <w:t xml:space="preserve"> </w:t>
            </w:r>
            <w:r>
              <w:rPr>
                <w:rFonts w:ascii="Times New Roman" w:hAnsi="Times New Roman"/>
                <w:sz w:val="20"/>
              </w:rPr>
              <w:t xml:space="preserve">[0.77, 0.94]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 (OpenAI)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claude-sonnet-4 (Anthropic)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gemini-2.5-flash (Google)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bl>
    <w:p>
      <w:pPr>
        <w:pStyle w:val="BodyText"/>
        <w:spacing w:before="160"/>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 On open-ended summarization scored against a lexical</w:t>
      </w:r>
      <w:r>
        <w:t xml:space="preserve"> </w:t>
      </w:r>
      <w:r>
        <w:t xml:space="preserve">BERTScore reference, the cross-family ensemble (</w:t>
      </w:r>
      <m:oMath>
        <m:r>
          <m:t>ρ</m:t>
        </m:r>
        <m:r>
          <m:rPr>
            <m:sty m:val="p"/>
          </m:rPr>
          <m:t>=</m:t>
        </m:r>
        <m:r>
          <m:t>0.227</m:t>
        </m:r>
      </m:oMath>
      <w:r>
        <w:t xml:space="preserve">) tracks ground truth on par with a 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matching this strong single-judge baseline without depending on any one model. A single judge</w:t>
      </w:r>
      <w:r>
        <w:t xml:space="preserve"> </w:t>
      </w:r>
      <w:r>
        <w:t xml:space="preserve">is a gamble one cannot hedge in advance: on this task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(Section 5.3),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2 and Table 3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ensemble score versus ground-truth accuracy per model; rankings identical</w:t>
            </w:r>
          </w:p>
        </w:tc>
      </w:tr>
    </w:tbl>
    <w:p>
      <w:pPr>
        <w:pStyle w:val="ImageCaption"/>
        <w:spacing w:before="80" w:after="120" w:line="240" w:lineRule="auto"/>
        <w:jc w:val="center"/>
        <w:keepNext w:val="0"/>
        <w:keepLines/>
        <w:widowControl w:val="1"/>
      </w:pPr>
      <w:r>
        <w:rPr>
          <w:b/>
          <w:bCs/>
        </w:rPr>
        <w:t xml:space="preserve">Figure 2.</w:t>
      </w:r>
      <w:r>
        <w:t xml:space="preserve"> </w:t>
      </w:r>
      <w:r>
        <w:t xml:space="preserve">CoEval recovers the true model ranking with no labels. For each student model</w:t>
      </w:r>
      <w:r>
        <w:t xml:space="preserve"> </w:t>
      </w:r>
      <w:r>
        <w:t xml:space="preserve">the CoEval frontier-ensemble accuracy score (green, datapoint-clustered 95% CI) and the held-out ground-truth</w:t>
      </w:r>
      <w:r>
        <w:t xml:space="preserve"> </w:t>
      </w:r>
      <w:r>
        <w:t xml:space="preserve">accuracy (blue) coincide within</w:t>
      </w:r>
      <w:r>
        <w:t xml:space="preserve"> </w:t>
      </w:r>
      <m:oMath>
        <m:r>
          <m:t>0.02</m:t>
        </m:r>
      </m:oMath>
      <w:r>
        <w:t xml:space="preserve">, and the order</w:t>
      </w:r>
      <w:r>
        <w:t xml:space="preserve"> </w:t>
      </w:r>
      <w:r>
        <w:rPr>
          <w:rStyle w:val="VerbatimChar"/>
        </w:rPr>
        <w:t xml:space="preserve">gpt-4o-mini</w:t>
      </w:r>
      <w:r>
        <w:t xml:space="preserve"> </w:t>
      </w:r>
      <w:r>
        <w:t xml:space="preserve">&gt;</w:t>
      </w:r>
      <w:r>
        <w:t xml:space="preserve"> </w:t>
      </w:r>
      <w:r>
        <w:rPr>
          <w:rStyle w:val="VerbatimChar"/>
        </w:rPr>
        <w:t xml:space="preserve">gpt-3.5-turbo</w:t>
      </w:r>
      <w:r>
        <w:t xml:space="preserve"> </w:t>
      </w:r>
      <w:r>
        <w:t xml:space="preserve">&gt;</w:t>
      </w:r>
      <w:r>
        <w:t xml:space="preserve"> </w:t>
      </w:r>
      <w:r>
        <w:rPr>
          <w:rStyle w:val="VerbatimChar"/>
        </w:rPr>
        <w:t xml:space="preserve">llama-3.2-3b</w:t>
      </w:r>
      <w:r>
        <w:t xml:space="preserve"> </w:t>
      </w:r>
      <w:r>
        <w:t xml:space="preserve">is reproduced exactly (cf. Table 3).</w:t>
      </w:r>
    </w:p>
    <w:p>
      <w:pPr>
        <w:pStyle w:val="TableCaption"/>
        <w:spacing w:before="160" w:after="60" w:line="240" w:lineRule="auto"/>
        <w:jc w:val="center"/>
        <w:keepNext/>
        <w:keepLines/>
        <w:widowControl w:val="1"/>
      </w:pPr>
      <w:r>
        <w:rPr>
          <w:b/>
          <w:bCs/>
        </w:rPr>
        <w:t xml:space="preserve">Table 3.</w:t>
      </w:r>
      <w:r>
        <w:t xml:space="preserve"> </w:t>
      </w:r>
      <w:r>
        <w:t xml:space="preserve">CoEval reproduces the ground-truth model ranking. Three student models ranked by</w:t>
      </w:r>
      <w:r>
        <w:t xml:space="preserve"> </w:t>
      </w:r>
      <w:r>
        <w:t xml:space="preserve">CoEval frontier-ensemble accuracy score (datapoint-clustered 95% CI) and by exact-match ground truth; the orderings</w:t>
      </w:r>
      <w:r>
        <w:t xml:space="preserve"> </w:t>
      </w:r>
      <w:r>
        <w:t xml:space="preserve">match.</w:t>
      </w:r>
    </w:p>
    <w:tbl>
      <w:tblPr>
        <w:tblStyle w:val="Table"/>
        <w:tblW w:type="pct" w:w="5000"/>
        <w:jc w:val="center"/>
        <w:tblLook w:firstRow="1" w:lastRow="0" w:firstColumn="0" w:lastColumn="0" w:noHBand="0" w:noVBand="0" w:val="0020"/>
        <w:tblCaption w:val="Table 3.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Model under evaluation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score [95% CI]</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Ground-truth accuracy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0.963 [0.937, 0.984]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0.921 [0.880, 0.958]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0.942</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0.843 [0.791, 0.895]</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0.832</w:t>
            </w:r>
          </w:p>
        </w:tc>
      </w:tr>
    </w:tbl>
    <w:bookmarkEnd w:id="21"/>
    <w:bookmarkStart w:id="22" w:name="Xe8bbf6e8b303eda2252037f5179fa153abacf26"/>
    <w:p>
      <w:pPr>
        <w:pStyle w:val="Heading3"/>
        <w:keepNext/>
        <w:keepLines/>
        <w:widowControl w:val="1"/>
      </w:pPr>
      <w:r>
        <w:t xml:space="preserve">5.2 Ensemble reliability: composition, judge-choice regret, and a self-validating panel</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indiscriminately adding low-agreement judges lowers the mean inter-rater correlation</w:t>
      </w:r>
      <w:r>
        <w:t xml:space="preserve"> </w:t>
      </w:r>
      <m:oMath>
        <m:acc>
          <m:accPr>
            <m:chr m:val="‾"/>
          </m:accPr>
          <m:e>
            <m:r>
              <m:t>r</m:t>
            </m:r>
          </m:e>
        </m:acc>
      </m:oMath>
      <w:r>
        <w:t xml:space="preserve"> </w:t>
      </w:r>
      <w:r>
        <w:t xml:space="preserve">faster than averaging can compensate, so</w:t>
      </w:r>
      <w:r>
        <w:t xml:space="preserve"> </w:t>
      </w:r>
      <m:oMath>
        <m:sSub>
          <m:e>
            <m:r>
              <m:t>R</m:t>
            </m:r>
          </m:e>
          <m:sub>
            <m:r>
              <m:t>k</m:t>
            </m:r>
          </m:sub>
        </m:sSub>
      </m:oMath>
      <w:r>
        <w:t xml:space="preserve"> </w:t>
      </w:r>
      <w:r>
        <w:t xml:space="preserve">in the Spearman–Brown relation can fall. CoEval's</w:t>
      </w:r>
      <w:r>
        <w:t xml:space="preserve"> </w:t>
      </w:r>
      <w:r>
        <w:t xml:space="preserve">consensus criterion identifies and retains the high-agreement judges, delivering the reliable configuration</w:t>
      </w:r>
      <w:r>
        <w:t xml:space="preserve"> </w:t>
      </w:r>
      <w:r>
        <w:t xml:space="preserve">automatically. In other words, the framework converts the panel-composition problem, which would otherwise</w:t>
      </w:r>
      <w:r>
        <w:t xml:space="preserve"> </w:t>
      </w:r>
      <w:r>
        <w:t xml:space="preserve">degrade a naive 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ICC(3,k) versus number of judges, peaking at the selected strong panel</w:t>
            </w:r>
          </w:p>
        </w:tc>
      </w:tr>
    </w:tbl>
    <w:p>
      <w:pPr>
        <w:pStyle w:val="ImageCaption"/>
        <w:spacing w:before="80" w:after="120" w:line="240" w:lineRule="auto"/>
        <w:jc w:val="center"/>
        <w:keepNext w:val="0"/>
        <w:keepLines/>
        <w:widowControl w:val="1"/>
      </w:pPr>
      <w:r>
        <w:rPr>
          <w:b/>
          <w:bCs/>
        </w:rPr>
        <w:t xml:space="preserve">Figure 3.</w:t>
      </w:r>
      <w:r>
        <w:t xml:space="preserve"> </w:t>
      </w:r>
      <w:r>
        <w:t xml:space="preserve">Composition over size. Average-measures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w:t>
      </w:r>
      <w:r>
        <w:t xml:space="preserve"> </w:t>
      </w:r>
      <w:r>
        <w:t xml:space="preserve">judges are added in descending agreement order. A selected strong panel reaches</w:t>
      </w:r>
      <w:r>
        <w:t xml:space="preserve"> </w:t>
      </w:r>
      <m:oMath>
        <m:r>
          <m:rPr>
            <m:sty m:val="p"/>
          </m:rPr>
          <m:t>I</m:t>
        </m:r>
        <m:r>
          <m:rPr>
            <m:sty m:val="p"/>
          </m:rPr>
          <m:t>C</m:t>
        </m:r>
        <m:r>
          <m:rPr>
            <m:sty m:val="p"/>
          </m:rPr>
          <m:t>C</m:t>
        </m:r>
        <m:r>
          <m:rPr>
            <m:sty m:val="p"/>
          </m:rPr>
          <m:t>=</m:t>
        </m:r>
        <m:r>
          <m:t>0.70</m:t>
        </m:r>
      </m:oMath>
      <w:r>
        <w:t xml:space="preserve">; indiscriminately</w:t>
      </w:r>
      <w:r>
        <w:t xml:space="preserve"> </w:t>
      </w:r>
      <w:r>
        <w:t xml:space="preserve">adding low-agreement judges lowers the mean inter-rater correlation faster than averaging compensates, so reliability</w:t>
      </w:r>
      <w:r>
        <w:t xml:space="preserve"> </w:t>
      </w:r>
      <w:r>
        <w:t xml:space="preserve">falls. CoEval's consensus selection retains the high-agreement judges, delivering the reliable configuration</w:t>
      </w:r>
      <w:r>
        <w:t xml:space="preserve"> </w:t>
      </w:r>
      <w:r>
        <w:t xml:space="preserve">automatically.</w:t>
      </w:r>
    </w:p>
    <w:p>
      <w:pPr>
        <w:pStyle w:val="BodyText"/>
        <w:jc w:val="both"/>
        <w:keepNext w:val="0"/>
        <w:keepLines w:val="0"/>
        <w:widowControl w:val="1"/>
      </w:pPr>
      <w:r>
        <w:rPr>
          <w:b/>
          <w:bCs/>
        </w:rPr>
        <w:t xml:space="preserve">Finding (composition over size).</w:t>
      </w:r>
      <w:r>
        <w:t xml:space="preserve"> </w:t>
      </w:r>
      <w:r>
        <w:t xml:space="preserve">Average-measures reliability is non-monotone in panel size:</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peaks at</w:t>
      </w:r>
      <w:r>
        <w:t xml:space="preserve"> </w:t>
      </w:r>
      <m:oMath>
        <m:r>
          <m:t>0.70</m:t>
        </m:r>
      </m:oMath>
      <w:r>
        <w:t xml:space="preserve"> </w:t>
      </w:r>
      <w:r>
        <w:t xml:space="preserve">for a selected strong pair and</w:t>
      </w:r>
      <w:r>
        <w:t xml:space="preserve"> </w:t>
      </w:r>
      <w:r>
        <w:rPr>
          <w:i/>
          <w:iCs/>
        </w:rPr>
        <w:t xml:space="preserve">falls</w:t>
      </w:r>
      <w:r>
        <w:t xml:space="preserve"> </w:t>
      </w:r>
      <w:r>
        <w:t xml:space="preserve">to</w:t>
      </w:r>
      <w:r>
        <w:t xml:space="preserve"> </w:t>
      </w:r>
      <m:oMath>
        <m:r>
          <m:t>0.40</m:t>
        </m:r>
      </m:oMath>
      <w:r>
        <w:t xml:space="preserve"> </w:t>
      </w:r>
      <w:r>
        <w:t xml:space="preserve">as low-agreement judges</w:t>
      </w:r>
      <w:r>
        <w:t xml:space="preserve"> </w:t>
      </w:r>
      <w:r>
        <w:t xml:space="preserve">are added, matching the Spearman–Brown prediction exactly. Ensemble</w:t>
      </w:r>
      <w:r>
        <w:t xml:space="preserve"> </w:t>
      </w:r>
      <w:r>
        <w:rPr>
          <w:i/>
          <w:iCs/>
        </w:rPr>
        <w:t xml:space="preserve">composition</w:t>
      </w:r>
      <w:r>
        <w:t xml:space="preserve">, not size, is the</w:t>
      </w:r>
      <w:r>
        <w:t xml:space="preserve"> </w:t>
      </w:r>
      <w:r>
        <w:t xml:space="preserve">decisive reliability lever; CoEval's consensus selection retains the high-agreement judges automatically.</w:t>
      </w:r>
    </w:p>
    <w:p>
      <w:pPr>
        <w:pStyle w:val="BodyText"/>
        <w:jc w:val="both"/>
        <w:keepNext w:val="0"/>
        <w:keepLines w:val="0"/>
        <w:widowControl w:val="1"/>
      </w:pPr>
      <w:r>
        <w:t xml:space="preserve">Composition matters because the</w:t>
      </w:r>
      <w:r>
        <w:t xml:space="preserve"> </w:t>
      </w:r>
      <w:r>
        <w:rPr>
          <w:i/>
          <w:iCs/>
        </w:rPr>
        <w:t xml:space="preserve">wrong single judge can be worse than useless</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w:t>
      </w:r>
      <w:hyperlink w:anchor="r33">
        <w:r>
          <w:rPr>
            <w:rStyle w:val="Hyperlink"/>
          </w:rPr>
          <w:t xml:space="preserve">33</w:t>
        </w:r>
      </w:hyperlink>
      <w:r>
        <w:t xml:space="preserve">]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rPr>
          <w:b/>
          <w:bCs/>
        </w:rPr>
        <w:t xml:space="preserve">Finding (judge-choice regret).</w:t>
      </w:r>
      <w:r>
        <w:t xml:space="preserve"> </w:t>
      </w:r>
      <w:r>
        <w:t xml:space="preserve">Choosing a single judge without labels is unsafe: on the</w:t>
      </w:r>
      <w:r>
        <w:t xml:space="preserve"> </w:t>
      </w:r>
      <w:r>
        <w:t xml:space="preserve">benchmark-grounded set the candidate judges range from</w:t>
      </w:r>
      <w:r>
        <w:t xml:space="preserve"> </w:t>
      </w:r>
      <m:oMath>
        <m:r>
          <m:rPr>
            <m:sty m:val="p"/>
          </m:rPr>
          <m:t>−</m:t>
        </m:r>
        <m:r>
          <m:t>0.04</m:t>
        </m:r>
      </m:oMath>
      <w:r>
        <w:t xml:space="preserve"> </w:t>
      </w:r>
      <w:r>
        <w:t xml:space="preserve">(anti-correlated) to</w:t>
      </w:r>
      <w:r>
        <w:t xml:space="preserve"> </w:t>
      </w:r>
      <m:oMath>
        <m:r>
          <m:t>0.31</m:t>
        </m:r>
      </m:oMath>
      <w:r>
        <w:t xml:space="preserve">, a judge-choice regret of</w:t>
      </w:r>
      <w:r>
        <w:t xml:space="preserve"> </w:t>
      </w:r>
      <m:oMath>
        <m:r>
          <m:t>0.35</m:t>
        </m:r>
      </m:oMath>
      <w:r>
        <w:t xml:space="preserve">, and the best judge varies by task. The cross-family ensemble removes this risk (plain mean</w:t>
      </w:r>
      <w:r>
        <w:t xml:space="preserve"> </w:t>
      </w:r>
      <m:oMath>
        <m:r>
          <m:t>0.238</m:t>
        </m:r>
      </m:oMath>
      <w:r>
        <w:t xml:space="preserve">, never</w:t>
      </w:r>
      <w:r>
        <w:t xml:space="preserve"> </w:t>
      </w:r>
      <w:r>
        <w:t xml:space="preserve">anti-correlated), and among label-free aggregators reliability weighting is the strongest (</w:t>
      </w:r>
      <m:oMath>
        <m:r>
          <m:t>0.246</m:t>
        </m:r>
      </m:oMath>
      <w:r>
        <w:t xml:space="preserve">, versus</w:t>
      </w:r>
      <w:r>
        <w:t xml:space="preserve"> </w:t>
      </w:r>
      <m:oMath>
        <m:r>
          <m:t>0.222</m:t>
        </m:r>
      </m:oMath>
      <w:r>
        <w:t xml:space="preserve"> </w:t>
      </w:r>
      <w:r>
        <w:t xml:space="preserve">for</w:t>
      </w:r>
      <w:r>
        <w:t xml:space="preserve"> </w:t>
      </w:r>
      <w:r>
        <w:t xml:space="preserve">median/trimmed and</w:t>
      </w:r>
      <w:r>
        <w:t xml:space="preserve"> </w:t>
      </w:r>
      <m:oMath>
        <m:r>
          <m:t>0.178</m:t>
        </m:r>
      </m:oMath>
      <w:r>
        <w:t xml:space="preserve"> </w:t>
      </w:r>
      <w:r>
        <w:t xml:space="preserve">for Dawid–Skene), using only the panel's internal agreement.</w:t>
      </w:r>
    </w:p>
    <w:p>
      <w:pPr>
        <w:pStyle w:val="BodyText"/>
        <w:jc w:val="both"/>
        <w:keepNext w:val="0"/>
        <w:keepLines w:val="0"/>
        <w:widowControl w:val="1"/>
      </w:pPr>
      <w:r>
        <w:t xml:space="preserve">Aggregation does more than average: it lets the evaluator</w:t>
      </w:r>
      <w:r>
        <w:t xml:space="preserve"> </w:t>
      </w:r>
      <w:r>
        <w:rPr>
          <w:i/>
          <w:iCs/>
        </w:rPr>
        <w:t xml:space="preserve">audit its own judges</w:t>
      </w:r>
      <w:r>
        <w:t xml:space="preserve"> </w:t>
      </w:r>
      <w:r>
        <w:t xml:space="preserve">with no labels. A judge's mean</w:t>
      </w:r>
      <w:r>
        <w:t xml:space="preserve"> </w:t>
      </w:r>
      <w:r>
        <w:t xml:space="preserve">agreement with the rest of the panel is an unsupervised reliability signal, and it cleanly separates competent judges</w:t>
      </w:r>
      <w:r>
        <w:t xml:space="preserve"> </w:t>
      </w:r>
      <w:r>
        <w:t xml:space="preserve">from broken ones. We stress-test this by adding three deliberately broken judges to the four-judge panel, one returning</w:t>
      </w:r>
      <w:r>
        <w:t xml:space="preserve"> </w:t>
      </w:r>
      <w:r>
        <w:t xml:space="preserve">uniform-random scores, one a constant score, and one anti-correlated with quality. All three fall to the bottom of the</w:t>
      </w:r>
      <w:r>
        <w:t xml:space="preserve"> </w:t>
      </w:r>
      <w:r>
        <w:t xml:space="preserve">agreement ranking (mean agreement</w:t>
      </w:r>
      <w:r>
        <w:t xml:space="preserve"> </w:t>
      </w:r>
      <m:oMath>
        <m:r>
          <m:rPr>
            <m:sty m:val="p"/>
          </m:rPr>
          <m:t>≤</m:t>
        </m:r>
        <m:r>
          <m:t>0</m:t>
        </m:r>
      </m:oMath>
      <w:r>
        <w:t xml:space="preserve"> </w:t>
      </w:r>
      <w:r>
        <w:t xml:space="preserve">versus</w:t>
      </w:r>
      <w:r>
        <w:t xml:space="preserve"> </w:t>
      </w:r>
      <m:oMath>
        <m:r>
          <m:t>0.07</m:t>
        </m:r>
      </m:oMath>
      <w:r>
        <w:t xml:space="preserve"> </w:t>
      </w:r>
      <w:r>
        <w:t xml:space="preserve">to</w:t>
      </w:r>
      <w:r>
        <w:t xml:space="preserve"> </w:t>
      </w:r>
      <m:oMath>
        <m:r>
          <m:t>0.18</m:t>
        </m:r>
      </m:oMath>
      <w:r>
        <w:t xml:space="preserve"> </w:t>
      </w:r>
      <w:r>
        <w:t xml:space="preserve">for the competent judges), and their effect on a naive</w:t>
      </w:r>
      <w:r>
        <w:t xml:space="preserve"> </w:t>
      </w:r>
      <w:r>
        <w:t xml:space="preserve">average is large: the plain-mean correlation with ground truth drops from</w:t>
      </w:r>
      <w:r>
        <w:t xml:space="preserve"> </w:t>
      </w:r>
      <m:oMath>
        <m:r>
          <m:t>0.238</m:t>
        </m:r>
      </m:oMath>
      <w:r>
        <w:t xml:space="preserve"> </w:t>
      </w:r>
      <w:r>
        <w:t xml:space="preserve">to</w:t>
      </w:r>
      <w:r>
        <w:t xml:space="preserve"> </w:t>
      </w:r>
      <m:oMath>
        <m:r>
          <m:t>0.126</m:t>
        </m:r>
      </m:oMath>
      <w:r>
        <w:t xml:space="preserve"> </w:t>
      </w:r>
      <w:r>
        <w:t xml:space="preserve">once they are included.</w:t>
      </w:r>
      <w:r>
        <w:t xml:space="preserve"> </w:t>
      </w:r>
      <w:r>
        <w:t xml:space="preserve">Reliability weighting, using only peer agreement, assigns each broken judge a weight of essentially zero and recovers</w:t>
      </w:r>
      <w:r>
        <w:t xml:space="preserve"> </w:t>
      </w:r>
      <w:r>
        <w:t xml:space="preserve">the clean-panel accuracy (</w:t>
      </w:r>
      <m:oMath>
        <m:r>
          <m:t>0.228</m:t>
        </m:r>
      </m:oMath>
      <w:r>
        <w:t xml:space="preserve">). A single judge offers no such safeguard, because there is nothing to check it</w:t>
      </w:r>
      <w:r>
        <w:t xml:space="preserve"> </w:t>
      </w:r>
      <w:r>
        <w:t xml:space="preserve">against: the panel turns the absence of labels from a liability into a design that validates itself.</w:t>
      </w:r>
    </w:p>
    <w:p>
      <w:pPr>
        <w:pStyle w:val="BodyText"/>
        <w:jc w:val="both"/>
        <w:keepNext w:val="0"/>
        <w:keepLines w:val="0"/>
        <w:widowControl w:val="1"/>
      </w:pPr>
      <w:r>
        <w:t xml:space="preserve">This self-correction has a precise boundary, and the boundary is exactly the cross-family design. It tolerates any</w:t>
      </w:r>
      <w:r>
        <w:t xml:space="preserve"> </w:t>
      </w:r>
      <w:r>
        <w:t xml:space="preserve">number of</w:t>
      </w:r>
      <w:r>
        <w:t xml:space="preserve"> </w:t>
      </w:r>
      <w:r>
        <w:rPr>
          <w:i/>
          <w:iCs/>
        </w:rPr>
        <w:t xml:space="preserve">independent</w:t>
      </w:r>
      <w:r>
        <w:t xml:space="preserve"> </w:t>
      </w:r>
      <w:r>
        <w:t xml:space="preserve">broken judges: adding six uniform-random judges to the four-judge panel leaves the</w:t>
      </w:r>
      <w:r>
        <w:t xml:space="preserve"> </w:t>
      </w:r>
      <w:r>
        <w:t xml:space="preserve">reliability-weighted accuracy at</w:t>
      </w:r>
      <w:r>
        <w:t xml:space="preserve"> </w:t>
      </w:r>
      <m:oMath>
        <m:r>
          <m:t>0.25</m:t>
        </m:r>
      </m:oMath>
      <w:r>
        <w:t xml:space="preserve"> </w:t>
      </w:r>
      <w:r>
        <w:t xml:space="preserve">while the plain mean falls to</w:t>
      </w:r>
      <w:r>
        <w:t xml:space="preserve"> </w:t>
      </w:r>
      <m:oMath>
        <m:r>
          <m:t>0.16</m:t>
        </m:r>
      </m:oMath>
      <w:r>
        <w:t xml:space="preserve">, because independent noise never forms a</w:t>
      </w:r>
      <w:r>
        <w:t xml:space="preserve"> </w:t>
      </w:r>
      <w:r>
        <w:t xml:space="preserve">consensus to agree with. It fails only when a</w:t>
      </w:r>
      <w:r>
        <w:t xml:space="preserve"> </w:t>
      </w:r>
      <w:r>
        <w:rPr>
          <w:i/>
          <w:iCs/>
        </w:rPr>
        <w:t xml:space="preserve">correlated</w:t>
      </w:r>
      <w:r>
        <w:t xml:space="preserve"> </w:t>
      </w:r>
      <w:r>
        <w:t xml:space="preserve">coalition of bad judges, all sharing one</w:t>
      </w:r>
      <w:r>
        <w:t xml:space="preserve"> </w:t>
      </w:r>
      <w:r>
        <w:t xml:space="preserve">systematic error,</w:t>
      </w:r>
      <w:r>
        <w:t xml:space="preserve"> </w:t>
      </w:r>
      <w:r>
        <w:rPr>
          <w:i/>
          <w:iCs/>
        </w:rPr>
        <w:t xml:space="preserve">outnumbers</w:t>
      </w:r>
      <w:r>
        <w:t xml:space="preserve"> </w:t>
      </w:r>
      <w:r>
        <w:t xml:space="preserve">the competent judges: once five such judges face four good ones the coalition</w:t>
      </w:r>
      <w:r>
        <w:t xml:space="preserve"> </w:t>
      </w:r>
      <w:r>
        <w:t xml:space="preserve">becomes the apparent consensus, takes all the weight, and the recovered ranking inverts. Peer-agreement weighting is</w:t>
      </w:r>
      <w:r>
        <w:t xml:space="preserve"> </w:t>
      </w:r>
      <w:r>
        <w:t xml:space="preserve">therefore only as safe as the independence of judge errors, and</w:t>
      </w:r>
      <w:r>
        <w:t xml:space="preserve"> </w:t>
      </w:r>
      <w:r>
        <w:rPr>
          <w:i/>
          <w:iCs/>
        </w:rPr>
        <w:t xml:space="preserve">vendor diversity is what supplies that</w:t>
      </w:r>
      <w:r>
        <w:rPr>
          <w:i/>
          <w:iCs/>
        </w:rPr>
        <w:t xml:space="preserve"> </w:t>
      </w:r>
      <w:r>
        <w:rPr>
          <w:i/>
          <w:iCs/>
        </w:rPr>
        <w:t xml:space="preserve">independence</w:t>
      </w:r>
      <w:r>
        <w:t xml:space="preserve">: judges from distinct model families are unlikely to share a bias coalition. The robustness of the</w:t>
      </w:r>
      <w:r>
        <w:t xml:space="preserve"> </w:t>
      </w:r>
      <w:r>
        <w:t xml:space="preserve">aggregator and the cross-family composition principle are two sides of one design.</w:t>
      </w:r>
    </w:p>
    <w:p>
      <w:pPr>
        <w:pStyle w:val="BodyText"/>
        <w:jc w:val="both"/>
        <w:keepNext w:val="0"/>
        <w:keepLines w:val="0"/>
        <w:widowControl w:val="1"/>
      </w:pPr>
      <w:r>
        <w:rPr>
          <w:b/>
          <w:bCs/>
        </w:rPr>
        <w:t xml:space="preserve">Finding (self-validating panel).</w:t>
      </w:r>
      <w:r>
        <w:t xml:space="preserve"> </w:t>
      </w:r>
      <w:r>
        <w:t xml:space="preserve">A panel both suppresses and</w:t>
      </w:r>
      <w:r>
        <w:t xml:space="preserve"> </w:t>
      </w:r>
      <w:r>
        <w:rPr>
          <w:i/>
          <w:iCs/>
        </w:rPr>
        <w:t xml:space="preserve">diagnoses</w:t>
      </w:r>
      <w:r>
        <w:t xml:space="preserve"> </w:t>
      </w:r>
      <w:r>
        <w:t xml:space="preserve">bad judges with no</w:t>
      </w:r>
      <w:r>
        <w:t xml:space="preserve"> </w:t>
      </w:r>
      <w:r>
        <w:t xml:space="preserve">labels. Adding three broken judges (random, constant, anti-correlated) to a four-judge panel nearly halves the</w:t>
      </w:r>
      <w:r>
        <w:t xml:space="preserve"> </w:t>
      </w:r>
      <w:r>
        <w:t xml:space="preserve">plain-mean accuracy (</w:t>
      </w:r>
      <m:oMath>
        <m:r>
          <m:t>0.238</m:t>
        </m:r>
        <m:r>
          <m:rPr>
            <m:sty m:val="p"/>
          </m:rPr>
          <m:t>→</m:t>
        </m:r>
        <m:r>
          <m:t>0.126</m:t>
        </m:r>
      </m:oMath>
      <w:r>
        <w:t xml:space="preserve">); reliability weighting gives each broken judge weight</w:t>
      </w:r>
      <w:r>
        <w:t xml:space="preserve"> </w:t>
      </w:r>
      <m:oMath>
        <m:r>
          <m:t>0.000</m:t>
        </m:r>
      </m:oMath>
      <w:r>
        <w:t xml:space="preserve"> </w:t>
      </w:r>
      <w:r>
        <w:t xml:space="preserve">from peer</w:t>
      </w:r>
      <w:r>
        <w:t xml:space="preserve"> </w:t>
      </w:r>
      <w:r>
        <w:t xml:space="preserve">agreement alone and restores</w:t>
      </w:r>
      <w:r>
        <w:t xml:space="preserve"> </w:t>
      </w:r>
      <m:oMath>
        <m:r>
          <m:t>0.228</m:t>
        </m:r>
      </m:oMath>
      <w:r>
        <w:t xml:space="preserve">. A single judge has no internal check to fall back on.</w:t>
      </w:r>
    </w:p>
    <w:p>
      <w:pPr>
        <w:pStyle w:val="BodyText"/>
        <w:jc w:val="both"/>
        <w:keepNext w:val="0"/>
        <w:keepLines w:val="0"/>
        <w:widowControl w:val="1"/>
      </w:pPr>
      <w:r>
        <w:t xml:space="preserve">The panel's two label-free quality signals, item discriminative power and judge agreement, compose into the</w:t>
      </w:r>
      <w:r>
        <w:t xml:space="preserve"> </w:t>
      </w:r>
      <w:r>
        <w:rPr>
          <w:i/>
          <w:iCs/>
        </w:rPr>
        <w:t xml:space="preserve">doubly-robust ranking</w:t>
      </w:r>
      <w:r>
        <w:t xml:space="preserve"> </w:t>
      </w:r>
      <w:r>
        <w:t xml:space="preserve">of Section 3.3, which leans on the items that separate models (Section 5.7)</w:t>
      </w:r>
      <w:r>
        <w:t xml:space="preserve"> </w:t>
      </w:r>
      <w:r>
        <w:t xml:space="preserve">and the judges that agree with the panel. On a benchmark-grounded check where gold accuracy is available (seven models</w:t>
      </w:r>
      <w:r>
        <w:t xml:space="preserve"> </w:t>
      </w:r>
      <w:r>
        <w:t xml:space="preserve">ranked on science QA and reasoning), it improves rank-recovery of the true model ordering from the plain mean's</w:t>
      </w:r>
      <w:r>
        <w:t xml:space="preserve"> </w:t>
      </w:r>
      <w:r>
        <w:t xml:space="preserve">Spearman</w:t>
      </w:r>
      <w:r>
        <w:t xml:space="preserve"> </w:t>
      </w:r>
      <m:oMath>
        <m:r>
          <m:t>0.87</m:t>
        </m:r>
      </m:oMath>
      <w:r>
        <w:t xml:space="preserve"> </w:t>
      </w:r>
      <w:r>
        <w:t xml:space="preserve">(Kendall</w:t>
      </w:r>
      <w:r>
        <w:t xml:space="preserve"> </w:t>
      </w:r>
      <m:oMath>
        <m:r>
          <m:t>0.75</m:t>
        </m:r>
      </m:oMath>
      <w:r>
        <w:t xml:space="preserve">) to</w:t>
      </w:r>
      <w:r>
        <w:t xml:space="preserve"> </w:t>
      </w:r>
      <m:oMath>
        <m:r>
          <m:t>0.98</m:t>
        </m:r>
      </m:oMath>
      <w:r>
        <w:t xml:space="preserve"> </w:t>
      </w:r>
      <w:r>
        <w:t xml:space="preserve">(Kendall</w:t>
      </w:r>
      <w:r>
        <w:t xml:space="preserve"> </w:t>
      </w:r>
      <m:oMath>
        <m:r>
          <m:t>0.95</m:t>
        </m:r>
      </m:oMath>
      <w:r>
        <w:t xml:space="preserve">), mostly by down-weighting saturated items</w:t>
      </w:r>
      <w:r>
        <w:t xml:space="preserve"> </w:t>
      </w:r>
      <w:r>
        <w:t xml:space="preserve">that carry no ranking signal (the top tenth of items by discrimination hold over half the weight), and it is robust:</w:t>
      </w:r>
      <w:r>
        <w:t xml:space="preserve"> </w:t>
      </w:r>
      <w:r>
        <w:t xml:space="preserve">injecting a random judge leaves the recovered ranking at</w:t>
      </w:r>
      <w:r>
        <w:t xml:space="preserve"> </w:t>
      </w:r>
      <m:oMath>
        <m:r>
          <m:t>0.98</m:t>
        </m:r>
      </m:oMath>
      <w:r>
        <w:t xml:space="preserve">, the rogue judge receiving weight</w:t>
      </w:r>
      <w:r>
        <w:t xml:space="preserve"> </w:t>
      </w:r>
      <m:oMath>
        <m:r>
          <m:t>0.06</m:t>
        </m:r>
      </m:oMath>
      <w:r>
        <w:t xml:space="preserve">. The two</w:t>
      </w:r>
      <w:r>
        <w:t xml:space="preserve"> </w:t>
      </w:r>
      <w:r>
        <w:t xml:space="preserve">weights are complementary, since on the discriminative items judge reliability matters most.</w:t>
      </w:r>
    </w:p>
    <w:bookmarkEnd w:id="22"/>
    <w:bookmarkStart w:id="23" w:name="bias-cancellation"/>
    <w:p>
      <w:pPr>
        <w:pStyle w:val="Heading3"/>
        <w:keepNext/>
        <w:keepLines/>
        <w:widowControl w:val="1"/>
      </w:pPr>
      <w:r>
        <w:t xml:space="preserve">5.3 Bias cancellation</w:t>
      </w:r>
    </w:p>
    <w:p>
      <w:pPr>
        <w:pStyle w:val="FirstParagraph"/>
        <w:jc w:val="both"/>
        <w:keepNext w:val="0"/>
        <w:keepLines w:val="0"/>
        <w:widowControl w:val="1"/>
      </w:pPr>
      <w:r>
        <w:t xml:space="preserve">We test whether CoEval's ensemble cancels verbosity bias, the tendency to reward longer responses, on</w:t>
      </w:r>
      <w:r>
        <w:t xml:space="preserve"> </w:t>
      </w:r>
      <w:r>
        <w:t xml:space="preserve">the four-task</w:t>
      </w:r>
      <w:r>
        <w:t xml:space="preserve"> </w:t>
      </w:r>
      <w:r>
        <w:rPr>
          <w:rStyle w:val="VerbatimChar"/>
        </w:rPr>
        <w:t xml:space="preserve">medium-benchmark</w:t>
      </w:r>
      <w:r>
        <w:t xml:space="preserve"> </w:t>
      </w:r>
      <w:r>
        <w:t xml:space="preserve">run, whose judge panel is</w:t>
      </w:r>
      <w:r>
        <w:t xml:space="preserve"> </w:t>
      </w:r>
      <w:r>
        <w:rPr>
          <w:rStyle w:val="VerbatimChar"/>
        </w:rPr>
        <w:t xml:space="preserve">gpt-4o-mini</w:t>
      </w:r>
      <w:r>
        <w:t xml:space="preserve"> </w:t>
      </w:r>
      <w:r>
        <w:t xml:space="preserve">and</w:t>
      </w:r>
      <w:r>
        <w:t xml:space="preserve"> </w:t>
      </w:r>
      <w:r>
        <w:rPr>
          <w:rStyle w:val="VerbatimChar"/>
        </w:rPr>
        <w:t xml:space="preserve">gpt-3.5-turbo</w:t>
      </w:r>
      <w:r>
        <w:t xml:space="preserve"> </w:t>
      </w:r>
      <w:r>
        <w:t xml:space="preserve">(OpenAI) together with</w:t>
      </w:r>
      <w:r>
        <w:t xml:space="preserve"> </w:t>
      </w:r>
      <w:r>
        <w:rPr>
          <w:rStyle w:val="VerbatimChar"/>
        </w:rPr>
        <w:t xml:space="preserve">qwen2.5-1.5b</w:t>
      </w:r>
      <w:r>
        <w:t xml:space="preserve"> </w:t>
      </w:r>
      <w:r>
        <w:t xml:space="preserve">and</w:t>
      </w:r>
      <w:r>
        <w:t xml:space="preserve"> </w:t>
      </w:r>
      <w:r>
        <w:rPr>
          <w:rStyle w:val="VerbatimChar"/>
        </w:rPr>
        <w:t xml:space="preserve">smollm2-1.7b</w:t>
      </w:r>
      <w:r>
        <w:t xml:space="preserve"> </w:t>
      </w:r>
      <w:r>
        <w:t xml:space="preserve">(open-weight).</w:t>
      </w:r>
      <w:r>
        <w:t xml:space="preserve"> </w:t>
      </w:r>
      <w:r>
        <w:t xml:space="preserve">For each judge we compute the Pearson correlation between response length and assigned score. Individual judges carry</w:t>
      </w:r>
      <w:r>
        <w:t xml:space="preserve"> </w:t>
      </w:r>
      <w:r>
        <w:t xml:space="preserve">length biases of</w:t>
      </w:r>
      <w:r>
        <w:t xml:space="preserve"> </w:t>
      </w:r>
      <w:r>
        <w:rPr>
          <w:i/>
          <w:iCs/>
        </w:rPr>
        <w:t xml:space="preserve">mixed sign</w:t>
      </w:r>
      <w:r>
        <w:t xml:space="preserve">:</w:t>
      </w:r>
      <w:r>
        <w:t xml:space="preserve"> </w:t>
      </w:r>
      <w:r>
        <w:rPr>
          <w:rStyle w:val="VerbatimChar"/>
        </w:rPr>
        <w:t xml:space="preserve">gpt-3.5-turbo</w:t>
      </w:r>
      <w:r>
        <w:t xml:space="preserve"> </w:t>
      </w:r>
      <w:r>
        <w:t xml:space="preserve">shows</w:t>
      </w:r>
      <w:r>
        <w:t xml:space="preserve"> </w:t>
      </w:r>
      <m:oMath>
        <m:r>
          <m:t>r</m:t>
        </m:r>
        <m:r>
          <m:rPr>
            <m:sty m:val="p"/>
          </m:rPr>
          <m:t>=</m:t>
        </m:r>
        <m:r>
          <m:rPr>
            <m:sty m:val="p"/>
          </m:rPr>
          <m:t>−</m:t>
        </m:r>
        <m:r>
          <m:t>0.177</m:t>
        </m:r>
      </m:oMath>
      <w:r>
        <w:t xml:space="preserve"> </w:t>
      </w:r>
      <w:r>
        <w:t xml:space="preserve">(penalizing length), while</w:t>
      </w:r>
      <w:r>
        <w:t xml:space="preserve"> </w:t>
      </w:r>
      <w:r>
        <w:rPr>
          <w:rStyle w:val="VerbatimChar"/>
        </w:rPr>
        <w:t xml:space="preserve">smollm2-1.7b</w:t>
      </w:r>
      <w:r>
        <w:t xml:space="preserve"> </w:t>
      </w:r>
      <w:r>
        <w:t xml:space="preserve">shows</w:t>
      </w:r>
      <w:r>
        <w:t xml:space="preserve"> </w:t>
      </w:r>
      <m:oMath>
        <m:r>
          <m:t>r</m:t>
        </m:r>
        <m:r>
          <m:rPr>
            <m:sty m:val="p"/>
          </m:rPr>
          <m:t>=</m:t>
        </m:r>
        <m:r>
          <m:rPr>
            <m:sty m:val="p"/>
          </m:rPr>
          <m:t>+</m:t>
        </m:r>
        <m:r>
          <m:t>0.234</m:t>
        </m:r>
      </m:oMath>
      <w:r>
        <w:t xml:space="preserve"> </w:t>
      </w:r>
      <w:r>
        <w:t xml:space="preserve">(rewarding length); across the panel the mean absolute bias is</w:t>
      </w:r>
      <w:r>
        <w:t xml:space="preserve"> </w:t>
      </w:r>
      <m:oMath>
        <m:bar>
          <m:barPr>
            <m:pos m:val="top"/>
          </m:barPr>
          <m:e>
            <m:r>
              <m:rPr>
                <m:sty m:val="p"/>
              </m:rPr>
              <m:t>|</m:t>
            </m:r>
            <m:r>
              <m:t>r</m:t>
            </m:r>
            <m:r>
              <m:rPr>
                <m:sty m:val="p"/>
              </m:rPr>
              <m:t>|</m:t>
            </m:r>
          </m:e>
        </m:bar>
        <m:r>
          <m:rPr>
            <m:sty m:val="p"/>
          </m:rPr>
          <m:t>=</m:t>
        </m:r>
        <m:r>
          <m:t>0.153</m:t>
        </m:r>
      </m:oMath>
      <w:r>
        <w:t xml:space="preserve">. No single judge is length-neutral.</w:t>
      </w:r>
    </w:p>
    <w:p>
      <w:pPr>
        <w:pStyle w:val="BodyText"/>
        <w:jc w:val="both"/>
        <w:keepNext w:val="0"/>
        <w:keepLines w:val="0"/>
        <w:widowControl w:val="1"/>
      </w:pPr>
      <w:r>
        <w:t xml:space="preserve">The cancellation mechanism is the</w:t>
      </w:r>
      <w:r>
        <w:t xml:space="preserve"> </w:t>
      </w:r>
      <w:r>
        <w:rPr>
          <w:i/>
          <w:iCs/>
        </w:rPr>
        <w:t xml:space="preserve">mixed sign</w:t>
      </w:r>
      <w:r>
        <w:t xml:space="preserve"> </w:t>
      </w:r>
      <w:r>
        <w:t xml:space="preserve">of these biases under averaging, which a diverse panel supplies.</w:t>
      </w:r>
      <w:r>
        <w:t xml:space="preserve"> </w:t>
      </w:r>
      <w:r>
        <w:t xml:space="preserve">We note a confound shared with self-preference (Section 5.4): in this panel, sign-diversity is correlated with</w:t>
      </w:r>
      <w:r>
        <w:t xml:space="preserve"> </w:t>
      </w:r>
      <w:r>
        <w:t xml:space="preserve">both vendor family and model capability (the strong OpenAI judges penalize length; the small open-weight judges reward</w:t>
      </w:r>
      <w:r>
        <w:t xml:space="preserve"> </w:t>
      </w:r>
      <w:r>
        <w:t xml:space="preserve">it), so we attribute the cancellation to bias-sign diversity rather than to vendor family</w:t>
      </w:r>
      <w:r>
        <w:t xml:space="preserve"> </w:t>
      </w:r>
      <w:r>
        <w:rPr>
          <w:i/>
          <w:iCs/>
        </w:rPr>
        <w:t xml:space="preserve">per se</w:t>
      </w:r>
      <w:r>
        <w:t xml:space="preserve">. The</w:t>
      </w:r>
      <w:r>
        <w:t xml:space="preserve"> </w:t>
      </w:r>
      <w:r>
        <w:t xml:space="preserve">practical recipe is the same: assemble judges whose idiosyncratic biases are unlikely to align, and vendor</w:t>
      </w:r>
      <w:r>
        <w:t xml:space="preserve"> </w:t>
      </w:r>
      <w:r>
        <w:t xml:space="preserve">diversity is a convenient, observable proxy for it.</w:t>
      </w:r>
    </w:p>
    <w:p>
      <w:pPr>
        <w:pStyle w:val="BodyText"/>
        <w:jc w:val="both"/>
        <w:keepNext w:val="0"/>
        <w:keepLines w:val="0"/>
        <w:widowControl w:val="1"/>
      </w:pPr>
      <w:r>
        <w:t xml:space="preserve">The</w:t>
      </w:r>
      <w:r>
        <w:t xml:space="preserve"> </w:t>
      </w:r>
      <w:r>
        <w:rPr>
          <w:b/>
          <w:bCs/>
        </w:rPr>
        <w:t xml:space="preserve">ensemble</w:t>
      </w:r>
      <w:r>
        <w:t xml:space="preserve"> </w:t>
      </w:r>
      <w:r>
        <w:t xml:space="preserve">correlation between length and score is</w:t>
      </w:r>
      <w:r>
        <w:t xml:space="preserve"> </w:t>
      </w:r>
      <m:oMath>
        <m:r>
          <m:t>r</m:t>
        </m:r>
        <m:r>
          <m:rPr>
            <m:sty m:val="p"/>
          </m:rPr>
          <m:t>=</m:t>
        </m:r>
        <m:r>
          <m:rPr>
            <m:sty m:val="p"/>
          </m:rPr>
          <m:t>+</m:t>
        </m:r>
        <m:r>
          <m:t>0.010</m:t>
        </m:r>
      </m:oMath>
      <w:r>
        <w:t xml:space="preserve">, with a 95% bootstrap confidence</w:t>
      </w:r>
      <w:r>
        <w:t xml:space="preserve"> </w:t>
      </w:r>
      <w:r>
        <w:t xml:space="preserve">interval of</w:t>
      </w:r>
      <w:r>
        <w:t xml:space="preserve"> </w:t>
      </w:r>
      <m:oMath>
        <m:r>
          <m:rPr>
            <m:sty m:val="p"/>
          </m:rPr>
          <m:t>[</m:t>
        </m:r>
        <m:r>
          <m:rPr>
            <m:sty m:val="p"/>
          </m:rPr>
          <m:t>−</m:t>
        </m:r>
        <m:r>
          <m:t>0.039</m:t>
        </m:r>
        <m:r>
          <m:rPr>
            <m:sty m:val="p"/>
          </m:rPr>
          <m:t>,</m:t>
        </m:r>
        <m:r>
          <m:t> </m:t>
        </m:r>
        <m:r>
          <m:rPr>
            <m:sty m:val="p"/>
          </m:rPr>
          <m:t>+</m:t>
        </m:r>
        <m:r>
          <m:t>0.057</m:t>
        </m:r>
        <m:r>
          <m:rPr>
            <m:sty m:val="p"/>
          </m:rPr>
          <m:t>]</m:t>
        </m:r>
      </m:oMath>
      <w:r>
        <w:t xml:space="preserve"> </w:t>
      </w:r>
      <w:r>
        <w:t xml:space="preserve">that</w:t>
      </w:r>
      <w:r>
        <w:t xml:space="preserve"> </w:t>
      </w:r>
      <w:r>
        <w:rPr>
          <w:i/>
          <w:iCs/>
        </w:rPr>
        <w:t xml:space="preserve">includes zero</w:t>
      </w:r>
      <w:r>
        <w:t xml:space="preserve">, a 93% reduction in length-bias magnitude relative</w:t>
      </w:r>
      <w:r>
        <w:t xml:space="preserve"> </w:t>
      </w:r>
      <w:r>
        <w:t xml:space="preserve">to the per-judge mean. The mixed-sign individual biases cancel under the averaging of</w:t>
      </w:r>
      <w:r>
        <w:t xml:space="preserve"> </w:t>
      </w:r>
      <m:oMath>
        <m:sSub>
          <m:e>
            <m:acc>
              <m:accPr>
                <m:chr m:val="‾"/>
              </m:accPr>
              <m:e>
                <m:r>
                  <m:t>s</m:t>
                </m:r>
              </m:e>
            </m:acc>
          </m:e>
          <m:sub>
            <m:r>
              <m:t>i</m:t>
            </m:r>
          </m:sub>
        </m:sSub>
      </m:oMath>
      <w:r>
        <w:t xml:space="preserve">, leaving an aggregate</w:t>
      </w:r>
      <w:r>
        <w:t xml:space="preserve"> </w:t>
      </w:r>
      <w:r>
        <w:t xml:space="preserve">score that is statistically indistinguishable from length-neutral.</w:t>
      </w:r>
    </w:p>
    <w:p>
      <w:pPr>
        <w:pStyle w:val="TableCaption"/>
        <w:spacing w:before="160" w:after="60" w:line="240" w:lineRule="auto"/>
        <w:jc w:val="center"/>
        <w:keepNext/>
        <w:keepLines/>
        <w:widowControl w:val="1"/>
      </w:pPr>
      <w:r>
        <w:rPr>
          <w:b/>
          <w:bCs/>
        </w:rPr>
        <w:t xml:space="preserve">Table 4.</w:t>
      </w:r>
      <w:r>
        <w:t xml:space="preserve"> </w:t>
      </w:r>
      <w:r>
        <w:t xml:space="preserve">Verbosity bias (Pearson</w:t>
      </w:r>
      <w:r>
        <w:t xml:space="preserve"> </w:t>
      </w:r>
      <m:oMath>
        <m:r>
          <m:t>r</m:t>
        </m:r>
      </m:oMath>
      <w:r>
        <w:t xml:space="preserve"> </w:t>
      </w:r>
      <w:r>
        <w:t xml:space="preserve">between response length and score) for representative</w:t>
      </w:r>
      <w:r>
        <w:t xml:space="preserve"> </w:t>
      </w:r>
      <w:r>
        <w:t xml:space="preserve">individual judges versus the CoEval ensemble. The ensemble CI includes zero.</w:t>
      </w:r>
    </w:p>
    <w:tbl>
      <w:tblPr>
        <w:tblStyle w:val="Table"/>
        <w:tblW w:type="pct" w:w="5000"/>
        <w:jc w:val="center"/>
        <w:tblLook w:firstRow="1" w:lastRow="0" w:firstColumn="0" w:lastColumn="0" w:noHBand="0" w:noVBand="0" w:val="0020"/>
        <w:tblCaption w:val="Table 4. Verbosity bias (Pearson r between response length and score) for representative individual judges versus the CoEval ensemble. The ensemble CI includes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Length-bias</w:t>
            </w:r>
            <w:r>
              <w:rPr>
                <w:rFonts w:ascii="Times New Roman" w:hAnsi="Times New Roman"/>
                <w:b/>
                <w:sz w:val="19"/>
              </w:rPr>
              <w:t xml:space="preserve"> </w:t>
            </w:r>
            <m:oMath>
              <m:r>
                <m:t>r</m:t>
              </m:r>
            </m:oMath>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95% bootstrap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−0.177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SmolLM2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+0.234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Panel mean</w:t>
            </w:r>
            <w:r>
              <w:rPr>
                <w:rFonts w:ascii="Times New Roman" w:hAnsi="Times New Roman"/>
                <w:sz w:val="20"/>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0.153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CoEval ensemble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+0.010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[−0.039, +0.057]</w:t>
            </w:r>
          </w:p>
        </w:tc>
      </w:tr>
    </w:tbl>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Forest plot of per-judge length-bias correlations with the ensemble near zero</w:t>
            </w:r>
          </w:p>
        </w:tc>
      </w:tr>
    </w:tbl>
    <w:p>
      <w:pPr>
        <w:pStyle w:val="ImageCaption"/>
        <w:spacing w:before="80" w:after="120" w:line="240" w:lineRule="auto"/>
        <w:jc w:val="center"/>
        <w:keepNext w:val="0"/>
        <w:keepLines/>
        <w:widowControl w:val="1"/>
      </w:pPr>
      <w:r>
        <w:rPr>
          <w:b/>
          <w:bCs/>
        </w:rPr>
        <w:t xml:space="preserve">Figure 4.</w:t>
      </w:r>
      <w:r>
        <w:t xml:space="preserve"> </w:t>
      </w:r>
      <w:r>
        <w:t xml:space="preserve">Verbosity bias by judge. Each judge's Pearson correlation between response</w:t>
      </w:r>
      <w:r>
        <w:t xml:space="preserve"> </w:t>
      </w:r>
      <w:r>
        <w:t xml:space="preserve">length and score (point) with its 95% bootstrap CI; the ensemble (green) sits at</w:t>
      </w:r>
      <w:r>
        <w:t xml:space="preserve"> </w:t>
      </w:r>
      <m:oMath>
        <m:r>
          <m:t>r</m:t>
        </m:r>
        <m:r>
          <m:rPr>
            <m:sty m:val="p"/>
          </m:rPr>
          <m:t>=</m:t>
        </m:r>
        <m:r>
          <m:rPr>
            <m:sty m:val="p"/>
          </m:rPr>
          <m:t>+</m:t>
        </m:r>
        <m:r>
          <m:t>0.010</m:t>
        </m:r>
      </m:oMath>
      <w:r>
        <w:t xml:space="preserve"> </w:t>
      </w:r>
      <w:r>
        <w:t xml:space="preserve">with a CI spanning zero.</w:t>
      </w:r>
      <w:r>
        <w:t xml:space="preserve"> </w:t>
      </w:r>
      <w:r>
        <w:t xml:space="preserve">Mixed-sign per-judge biases cancel under averaging.</w:t>
      </w:r>
    </w:p>
    <w:p>
      <w:pPr>
        <w:pStyle w:val="BodyText"/>
        <w:jc w:val="both"/>
        <w:keepNext w:val="0"/>
        <w:keepLines w:val="0"/>
        <w:widowControl w:val="1"/>
      </w:pPr>
      <w:r>
        <w:rPr>
          <w:b/>
          <w:bCs/>
        </w:rPr>
        <w:t xml:space="preserve">Finding (bias cancellation).</w:t>
      </w:r>
      <w:r>
        <w:t xml:space="preserve"> </w:t>
      </w:r>
      <w:r>
        <w:t xml:space="preserve">The ensemble removes a verbosity bias that no single judge avoids:</w:t>
      </w:r>
      <w:r>
        <w:t xml:space="preserve"> </w:t>
      </w:r>
      <w:r>
        <w:t xml:space="preserve">mean per-judge</w:t>
      </w:r>
      <w:r>
        <w:t xml:space="preserve"> </w:t>
      </w:r>
      <m:oMath>
        <m:r>
          <m:rPr>
            <m:sty m:val="p"/>
          </m:rPr>
          <m:t>|</m:t>
        </m:r>
        <m:r>
          <m:t>r</m:t>
        </m:r>
        <m:r>
          <m:rPr>
            <m:sty m:val="p"/>
          </m:rPr>
          <m:t>|</m:t>
        </m:r>
        <m:r>
          <m:rPr>
            <m:sty m:val="p"/>
          </m:rPr>
          <m:t>=</m:t>
        </m:r>
        <m:r>
          <m:t>0.153</m:t>
        </m:r>
      </m:oMath>
      <w:r>
        <w:t xml:space="preserve"> </w:t>
      </w:r>
      <w:r>
        <w:t xml:space="preserve">collapses to an ensemble</w:t>
      </w:r>
      <w:r>
        <w:t xml:space="preserve"> </w:t>
      </w:r>
      <m:oMath>
        <m:r>
          <m:t>r</m:t>
        </m:r>
        <m:r>
          <m:rPr>
            <m:sty m:val="p"/>
          </m:rPr>
          <m:t>=</m:t>
        </m:r>
        <m:r>
          <m:rPr>
            <m:sty m:val="p"/>
          </m:rPr>
          <m:t>+</m:t>
        </m:r>
        <m:r>
          <m:t>0.010</m:t>
        </m:r>
      </m:oMath>
      <w:r>
        <w:t xml:space="preserve"> </w:t>
      </w:r>
      <w:r>
        <w:t xml:space="preserve">whose 95% CI</w:t>
      </w:r>
      <w:r>
        <w:t xml:space="preserve"> </w:t>
      </w:r>
      <m:oMath>
        <m:r>
          <m:rPr>
            <m:sty m:val="p"/>
          </m:rPr>
          <m:t>[</m:t>
        </m:r>
        <m:r>
          <m:rPr>
            <m:sty m:val="p"/>
          </m:rPr>
          <m:t>−</m:t>
        </m:r>
        <m:r>
          <m:t>0.039</m:t>
        </m:r>
        <m:r>
          <m:rPr>
            <m:sty m:val="p"/>
          </m:rPr>
          <m:t>,</m:t>
        </m:r>
        <m:r>
          <m:rPr>
            <m:sty m:val="p"/>
          </m:rPr>
          <m:t>+</m:t>
        </m:r>
        <m:r>
          <m:t>0.057</m:t>
        </m:r>
        <m:r>
          <m:rPr>
            <m:sty m:val="p"/>
          </m:rPr>
          <m:t>]</m:t>
        </m:r>
      </m:oMath>
      <w:r>
        <w:t xml:space="preserve"> </w:t>
      </w:r>
      <w:r>
        <w:t xml:space="preserve">contains zero, a</w:t>
      </w:r>
      <w:r>
        <w:t xml:space="preserve"> </w:t>
      </w:r>
      <w:r>
        <w:t xml:space="preserve">93% reduction.</w:t>
      </w:r>
    </w:p>
    <w:bookmarkEnd w:id="23"/>
    <w:bookmarkStart w:id="24" w:name="Xafb02bce621e02934ae814be540128cfed2d296"/>
    <w:p>
      <w:pPr>
        <w:pStyle w:val="Heading3"/>
        <w:keepNext/>
        <w:keepLines/>
        <w:widowControl w:val="1"/>
      </w:pPr>
      <w:r>
        <w:t xml:space="preserve">5.4 Cross-family self-preference: a design property</w:t>
      </w:r>
    </w:p>
    <w:p>
      <w:pPr>
        <w:pStyle w:val="FirstParagraph"/>
        <w:jc w:val="both"/>
        <w:keepNext w:val="0"/>
        <w:keepLines w:val="0"/>
        <w:widowControl w:val="1"/>
      </w:pPr>
      <w:r>
        <w:t xml:space="preserve">Recent work establishes that judge–generator relatedness inflates scores:</w:t>
      </w:r>
      <w:r>
        <w:t xml:space="preserve"> </w:t>
      </w:r>
      <w:r>
        <w:rPr>
          <w:i/>
          <w:iCs/>
        </w:rPr>
        <w:t xml:space="preserve">Preference Leakage</w:t>
      </w:r>
      <w:r>
        <w:t xml:space="preserve"> </w:t>
      </w:r>
      <w:r>
        <w:t xml:space="preserve">[</w:t>
      </w:r>
      <w:hyperlink w:anchor="r15">
        <w:r>
          <w:rPr>
            <w:rStyle w:val="Hyperlink"/>
          </w:rPr>
          <w:t xml:space="preserve">15</w:t>
        </w:r>
      </w:hyperlink>
      <w:r>
        <w:t xml:space="preserve">] identifies same-model and same-family relatedness as a contamination vector,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frontier models favoring same-family outputs.</w:t>
      </w:r>
      <w:r>
        <w:t xml:space="preserve"> </w:t>
      </w:r>
      <w:r>
        <w:t xml:space="preserve">CoEval addresses this</w:t>
      </w:r>
      <w:r>
        <w:t xml:space="preserve"> </w:t>
      </w:r>
      <w:r>
        <w:rPr>
          <w:i/>
          <w:iCs/>
        </w:rPr>
        <w:t xml:space="preserve">structurally</w:t>
      </w:r>
      <w:r>
        <w:t xml:space="preserve">: by requiring the judge panel to be vendor-disjoint from the student under</w:t>
      </w:r>
      <w:r>
        <w:t xml:space="preserve"> </w:t>
      </w:r>
      <w:r>
        <w:t xml:space="preserve">test, it precludes a model from scoring its own family, eliminating the self-preference channel by design rather than</w:t>
      </w:r>
      <w:r>
        <w:t xml:space="preserve"> </w:t>
      </w:r>
      <w:r>
        <w:t xml:space="preserve">by post-hoc correction. Because no judge ever scores its own family, a same-family preference cannot enter the</w:t>
      </w:r>
      <w:r>
        <w:t xml:space="preserve"> </w:t>
      </w:r>
      <w:r>
        <w:t xml:space="preserve">aggregate in the first place, regardless of its magnitude on any individual model.</w:t>
      </w:r>
    </w:p>
    <w:p>
      <w:pPr>
        <w:pStyle w:val="BodyText"/>
        <w:jc w:val="both"/>
        <w:keepNext w:val="0"/>
        <w:keepLines w:val="0"/>
        <w:widowControl w:val="1"/>
      </w:pPr>
      <w:r>
        <w:t xml:space="preserve">We also measure the residual same-family preference directly. The vertical case studies (Section 5.7) include</w:t>
      </w:r>
      <w:r>
        <w:t xml:space="preserve"> </w:t>
      </w:r>
      <w:r>
        <w:rPr>
          <w:rStyle w:val="VerbatimChar"/>
        </w:rPr>
        <w:t xml:space="preserve">gpt-4o-mini</w:t>
      </w:r>
      <w:r>
        <w:t xml:space="preserve"> </w:t>
      </w:r>
      <w:r>
        <w:t xml:space="preserve">as both a judge and a candidate, which lets us isolate self-preference as a</w:t>
      </w:r>
      <w:r>
        <w:t xml:space="preserve"> </w:t>
      </w:r>
      <w:r>
        <w:t xml:space="preserve">difference-in-differences that controls for a judge's overall harshness (how much more the same-family judge favors the</w:t>
      </w:r>
      <w:r>
        <w:t xml:space="preserve"> </w:t>
      </w:r>
      <w:r>
        <w:t xml:space="preserve">in-family candidate over a rival than the cross-family judges do). Across the three verticals the residual effect is</w:t>
      </w:r>
      <w:r>
        <w:t xml:space="preserve"> </w:t>
      </w:r>
      <w:r>
        <w:t xml:space="preserve">small and inconsistent in sign,</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 legal, and</w:t>
      </w:r>
      <w:r>
        <w:t xml:space="preserve"> </w:t>
      </w:r>
      <m:oMath>
        <m:r>
          <m:rPr>
            <m:sty m:val="p"/>
          </m:rPr>
          <m:t>−</m:t>
        </m:r>
        <m:r>
          <m:t>0.04</m:t>
        </m:r>
      </m:oMath>
      <w:r>
        <w:t xml:space="preserve"> </w:t>
      </w:r>
      <w:r>
        <w:t xml:space="preserve">on drug-interaction: in a cross-family panel no systematic self-inflation survives, consistent with vendor diversity</w:t>
      </w:r>
      <w:r>
        <w:t xml:space="preserve"> </w:t>
      </w:r>
      <w:r>
        <w:t xml:space="preserve">already neutralizing it. The structural guarantee makes this robustness automatic rather than incidental: because a</w:t>
      </w:r>
      <w:r>
        <w:t xml:space="preserve"> </w:t>
      </w:r>
      <w:r>
        <w:t xml:space="preserve">model never scores its own family, a same-family preference of any sign or magnitude cannot enter the aggregate.</w:t>
      </w:r>
    </w:p>
    <w:p>
      <w:pPr>
        <w:pStyle w:val="BodyText"/>
        <w:jc w:val="both"/>
        <w:keepNext w:val="0"/>
        <w:keepLines w:val="0"/>
        <w:widowControl w:val="1"/>
      </w:pPr>
      <w:r>
        <w:t xml:space="preserve">Beyond the structural guarantee, CoEval can</w:t>
      </w:r>
      <w:r>
        <w:t xml:space="preserve"> </w:t>
      </w:r>
      <w:r>
        <w:rPr>
          <w:i/>
          <w:iCs/>
        </w:rPr>
        <w:t xml:space="preserve">explicitly</w:t>
      </w:r>
      <w:r>
        <w:t xml:space="preserve"> </w:t>
      </w:r>
      <w:r>
        <w:t xml:space="preserve">account for systematic same-family bias through</w:t>
      </w:r>
      <w:r>
        <w:t xml:space="preserve"> </w:t>
      </w:r>
      <w:r>
        <w:rPr>
          <w:i/>
          <w:iCs/>
        </w:rPr>
        <w:t xml:space="preserve">vendor-disjoint aggregation</w:t>
      </w:r>
      <w:r>
        <w:t xml:space="preserve">: when scoring a model under test, the ensemble drops any judge that shares the</w:t>
      </w:r>
      <w:r>
        <w:t xml:space="preserve"> </w:t>
      </w:r>
      <w:r>
        <w:t xml:space="preserve">model's vendor family, so no model contributes to its own family's score. Applying this correction to the rankings</w:t>
      </w:r>
      <w:r>
        <w:t xml:space="preserve"> </w:t>
      </w:r>
      <w:r>
        <w:t xml:space="preserve">of Tables 3 and 5 leaves</w:t>
      </w:r>
      <w:r>
        <w:t xml:space="preserve"> </w:t>
      </w:r>
      <w:r>
        <w:rPr>
          <w:i/>
          <w:iCs/>
        </w:rPr>
        <w:t xml:space="preserve">every</w:t>
      </w:r>
      <w:r>
        <w:t xml:space="preserve"> </w:t>
      </w:r>
      <w:r>
        <w:t xml:space="preserve">ranking unchanged, with per-model scores shifting by at most</w:t>
      </w:r>
      <w:r>
        <w:t xml:space="preserve"> </w:t>
      </w:r>
      <m:oMath>
        <m:r>
          <m:t>0.015</m:t>
        </m:r>
      </m:oMath>
      <w:r>
        <w:t xml:space="preserve">, a direct, auditable confirmation that the cross-family ensemble's rankings are already robust to</w:t>
      </w:r>
      <w:r>
        <w:t xml:space="preserve"> </w:t>
      </w:r>
      <w:r>
        <w:t xml:space="preserve">same-family bias. The correction is therefore available as a safeguard, and its null effect here is itself evidence</w:t>
      </w:r>
      <w:r>
        <w:t xml:space="preserve"> </w:t>
      </w:r>
      <w:r>
        <w:t xml:space="preserve">that vendor diversity, not a post-hoc adjustment, is doing the work.</w:t>
      </w:r>
    </w:p>
    <w:p>
      <w:pPr>
        <w:pStyle w:val="BodyText"/>
        <w:jc w:val="both"/>
        <w:keepNext w:val="0"/>
        <w:keepLines w:val="0"/>
        <w:widowControl w:val="1"/>
      </w:pPr>
      <w:r>
        <w:rPr>
          <w:b/>
          <w:bCs/>
        </w:rPr>
        <w:t xml:space="preserve">Finding (self-preference).</w:t>
      </w:r>
      <w:r>
        <w:t xml:space="preserve"> </w:t>
      </w:r>
      <w:r>
        <w:t xml:space="preserve">CoEval's vendor-disjoint panel structurally precludes a model from judging</w:t>
      </w:r>
      <w:r>
        <w:t xml:space="preserve"> </w:t>
      </w:r>
      <w:r>
        <w:t xml:space="preserve">its own family. The measured residual same-family preference is small and inconsistent in sign across three verticals</w:t>
      </w:r>
      <w:r>
        <w:t xml:space="preserve"> </w:t>
      </w:r>
      <w:r>
        <w:t xml:space="preserve">(</w:t>
      </w:r>
      <m:oMath>
        <m:r>
          <m:rPr>
            <m:sty m:val="p"/>
          </m:rPr>
          <m:t>|</m:t>
        </m:r>
        <m:r>
          <m:rPr>
            <m:nor/>
            <m:sty m:val="p"/>
          </m:rPr>
          <m:t>effect</m:t>
        </m:r>
        <m:r>
          <m:rPr>
            <m:sty m:val="p"/>
          </m:rPr>
          <m:t>|</m:t>
        </m:r>
        <m:r>
          <m:rPr>
            <m:sty m:val="p"/>
          </m:rPr>
          <m:t>≤</m:t>
        </m:r>
        <m:r>
          <m:t>0.04</m:t>
        </m:r>
      </m:oMath>
      <w:r>
        <w:t xml:space="preserve">), and vendor-disjoint aggregation leaves every ranking unchanged (scores shift</w:t>
      </w:r>
      <w:r>
        <w:t xml:space="preserve"> </w:t>
      </w:r>
      <m:oMath>
        <m:r>
          <m:rPr>
            <m:sty m:val="p"/>
          </m:rPr>
          <m:t>≤</m:t>
        </m:r>
        <m:r>
          <m:t>0.015</m:t>
        </m:r>
      </m:oMath>
      <w:r>
        <w:t xml:space="preserve">): the cross-family design neutralizes self-preference by construction.</w:t>
      </w:r>
    </w:p>
    <w:bookmarkEnd w:id="24"/>
    <w:bookmarkStart w:id="25" w:name="contamination-resistance"/>
    <w:p>
      <w:pPr>
        <w:pStyle w:val="Heading3"/>
        <w:keepNext/>
        <w:keepLines/>
        <w:widowControl w:val="1"/>
      </w:pPr>
      <w:r>
        <w:t xml:space="preserve">5.5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2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p>
      <w:pPr>
        <w:pStyle w:val="BodyText"/>
        <w:jc w:val="both"/>
        <w:keepNext w:val="0"/>
        <w:keepLines w:val="0"/>
        <w:widowControl w:val="1"/>
      </w:pPr>
      <w:r>
        <w:rPr>
          <w:b/>
          <w:bCs/>
        </w:rPr>
        <w:t xml:space="preserve">Finding (contamination).</w:t>
      </w:r>
      <w:r>
        <w:t xml:space="preserve"> </w:t>
      </w:r>
      <w:r>
        <w:t xml:space="preserve">A static benchmark of memorized public items ranks a</w:t>
      </w:r>
      <w:r>
        <w:t xml:space="preserve"> </w:t>
      </w:r>
      <m:oMath>
        <m:r>
          <m:t>0.5</m:t>
        </m:r>
      </m:oMath>
      <w:r>
        <w:t xml:space="preserve">B memorizer</w:t>
      </w:r>
      <w:r>
        <w:t xml:space="preserve"> </w:t>
      </w:r>
      <w:r>
        <w:rPr>
          <w:i/>
          <w:iCs/>
        </w:rPr>
        <w:t xml:space="preserve">above</w:t>
      </w:r>
      <w:r>
        <w:t xml:space="preserve"> </w:t>
      </w:r>
      <w:r>
        <w:rPr>
          <w:rStyle w:val="VerbatimChar"/>
        </w:rPr>
        <w:t xml:space="preserve">gpt-4o-mini</w:t>
      </w:r>
      <w:r>
        <w:t xml:space="preserve"> </w:t>
      </w:r>
      <w:r>
        <w:t xml:space="preserve">(</w:t>
      </w:r>
      <m:oMath>
        <m:r>
          <m:t>1.00</m:t>
        </m:r>
      </m:oMath>
      <w:r>
        <w:t xml:space="preserve"> </w:t>
      </w:r>
      <w:r>
        <w:t xml:space="preserve">vs</w:t>
      </w:r>
      <w:r>
        <w:t xml:space="preserve"> </w:t>
      </w:r>
      <m:oMath>
        <m:r>
          <m:t>0.845</m:t>
        </m:r>
      </m:oMath>
      <w:r>
        <w:t xml:space="preserve">); on fresh items of the same capability the order inverts to</w:t>
      </w:r>
      <w:r>
        <w:t xml:space="preserve"> </w:t>
      </w:r>
      <w:r>
        <w:t xml:space="preserve">the correct one (</w:t>
      </w:r>
      <w:r>
        <w:rPr>
          <w:rStyle w:val="VerbatimChar"/>
        </w:rPr>
        <w:t xml:space="preserve">gpt-4o-mini</w:t>
      </w:r>
      <w:r>
        <w:t xml:space="preserve"> </w:t>
      </w:r>
      <m:oMath>
        <m:r>
          <m:t>0.81</m:t>
        </m:r>
        <m:r>
          <m:rPr>
            <m:sty m:val="p"/>
          </m:rPr>
          <m:t>&gt;</m:t>
        </m:r>
      </m:oMath>
      <w:r>
        <w:t xml:space="preserve"> </w:t>
      </w:r>
      <w:r>
        <w:t xml:space="preserve">memorizer</w:t>
      </w:r>
      <w:r>
        <w:t xml:space="preserve"> </w:t>
      </w:r>
      <m:oMath>
        <m:r>
          <m:t>0.74</m:t>
        </m:r>
      </m:oMath>
      <w:r>
        <w:t xml:space="preserve">). CoEval-generated items additionally show</w:t>
      </w:r>
      <w:r>
        <w:t xml:space="preserve"> </w:t>
      </w:r>
      <m:oMath>
        <m:r>
          <m:t>0.0000</m:t>
        </m:r>
      </m:oMath>
      <w:r>
        <w:t xml:space="preserve"> </w:t>
      </w:r>
      <w:r>
        <w:t xml:space="preserve">verbatim 13-gram overlap with five major public benchmarks, so they cannot be gamed this way.</w:t>
      </w:r>
    </w:p>
    <w:bookmarkEnd w:id="25"/>
    <w:bookmarkStart w:id="26" w:name="cost"/>
    <w:p>
      <w:pPr>
        <w:pStyle w:val="Heading3"/>
        <w:keepNext/>
        <w:keepLines/>
        <w:widowControl w:val="1"/>
      </w:pPr>
      <w:r>
        <w:t xml:space="preserve">5.6 Cost</w:t>
      </w:r>
    </w:p>
    <w:p>
      <w:pPr>
        <w:pStyle w:val="FirstParagraph"/>
        <w:jc w:val="both"/>
        <w:keepNext w:val="0"/>
        <w:keepLines w:val="0"/>
        <w:widowControl w:val="1"/>
      </w:pPr>
      <w:r>
        <w:t xml:space="preserve">The entire four-task medium-scale study, teacher generation, student response collection, cross-family judging,</w:t>
      </w:r>
      <w:r>
        <w:t xml:space="preserve"> </w:t>
      </w:r>
      <w:r>
        <w:t xml:space="preserve">and analysis, produced</w:t>
      </w:r>
      <w:r>
        <w:t xml:space="preserve"> </w:t>
      </w:r>
      <w:r>
        <w:rPr>
          <w:b/>
          <w:bCs/>
        </w:rPr>
        <w:t xml:space="preserve">7,978 valid evaluations</w:t>
      </w:r>
      <w:r>
        <w:t xml:space="preserve"> </w:t>
      </w:r>
      <w:r>
        <w:t xml:space="preserve">for a total cost of</w:t>
      </w:r>
      <w:r>
        <w:t xml:space="preserve"> </w:t>
      </w:r>
      <w:r>
        <w:rPr>
          <w:b/>
          <w:bCs/>
        </w:rPr>
        <w:t xml:space="preserve">USD 5.89</w:t>
      </w:r>
      <w:r>
        <w:t xml:space="preserve">,</w:t>
      </w:r>
      <w:r>
        <w:t xml:space="preserve"> </w:t>
      </w:r>
      <w:r>
        <w:t xml:space="preserve">fully automated and with no human annotation. At roughly USD 0.00074 per evaluation, contamination-free, domain-targeted,</w:t>
      </w:r>
      <w:r>
        <w:t xml:space="preserve"> </w:t>
      </w:r>
      <w:r>
        <w:t xml:space="preserve">bias-cancelled evaluation is inexpensive enough to re-run on every model release, which is exactly what a renewable,</w:t>
      </w:r>
      <w:r>
        <w:t xml:space="preserve"> </w:t>
      </w:r>
      <w:r>
        <w:t xml:space="preserve">contamination-resistant benchmark requires. At roughly</w:t>
      </w:r>
      <w:r>
        <w:t xml:space="preserve"> </w:t>
      </w:r>
      <m:oMath>
        <m:r>
          <m:t>1</m:t>
        </m:r>
        <m:r>
          <m:rPr>
            <m:sty m:val="p"/>
          </m:rPr>
          <m:t>,</m:t>
        </m:r>
        <m:r>
          <m:t>350</m:t>
        </m:r>
      </m:oMath>
      <w:r>
        <w:t xml:space="preserve"> </w:t>
      </w:r>
      <w:r>
        <w:t xml:space="preserve">evaluations per dollar, CoEval runs two to three</w:t>
      </w:r>
      <w:r>
        <w:t xml:space="preserve"> </w:t>
      </w:r>
      <w:r>
        <w:t xml:space="preserve">orders of magnitude cheaper than typical human annotation (</w:t>
      </w:r>
      <w:hyperlink w:anchor="appC">
        <w:r>
          <w:rPr>
            <w:rStyle w:val="Hyperlink"/>
          </w:rPr>
          <w:t xml:space="preserve">Appendix C</w:t>
        </w:r>
      </w:hyperlink>
      <w:r>
        <w:t xml:space="preserve">).</w:t>
      </w:r>
    </w:p>
    <w:bookmarkEnd w:id="26"/>
    <w:bookmarkStart w:id="27" w:name="putting-it-together-domain-case-studies"/>
    <w:p>
      <w:pPr>
        <w:pStyle w:val="Heading3"/>
        <w:keepNext/>
        <w:keepLines/>
        <w:widowControl w:val="1"/>
      </w:pPr>
      <w:r>
        <w:t xml:space="preserve">5.7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r>
        <w:t xml:space="preserve"> </w:t>
      </w:r>
      <w:hyperlink w:anchor="appD">
        <w:r>
          <w:rPr>
            <w:rStyle w:val="Hyperlink"/>
          </w:rPr>
          <w:t xml:space="preserve">Appendix D</w:t>
        </w:r>
      </w:hyperlink>
      <w:r>
        <w:t xml:space="preserve"> </w:t>
      </w:r>
      <w:r>
        <w:t xml:space="preserve">shows the actual generated artifacts for all three</w:t>
      </w:r>
      <w:r>
        <w:t xml:space="preserve"> </w:t>
      </w:r>
      <w:r>
        <w:t xml:space="preserve">domains: the one-line seed, the auto-generated attribute strata and rubric, and a representative synthesized item.</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5).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BodyText"/>
        <w:jc w:val="both"/>
        <w:keepNext w:val="0"/>
        <w:keepLines w:val="0"/>
        <w:widowControl w:val="1"/>
      </w:pPr>
      <w:r>
        <w:t xml:space="preserve">A ranking is only possible if the items</w:t>
      </w:r>
      <w:r>
        <w:t xml:space="preserve"> </w:t>
      </w:r>
      <w:r>
        <w:rPr>
          <w:i/>
          <w:iCs/>
        </w:rPr>
        <w:t xml:space="preserve">separate</w:t>
      </w:r>
      <w:r>
        <w:t xml:space="preserve"> </w:t>
      </w:r>
      <w:r>
        <w:t xml:space="preserve">the models, the generation-side analog of judge</w:t>
      </w:r>
      <w:r>
        <w:t xml:space="preserve"> </w:t>
      </w:r>
      <w:r>
        <w:t xml:space="preserve">discrimination: a good teacher writes questions on which candidates actually differ. We measure per-item</w:t>
      </w:r>
      <w:r>
        <w:t xml:space="preserve"> </w:t>
      </w:r>
      <w:r>
        <w:t xml:space="preserve">discriminativeness as the spread of candidate-model ensemble scores. Across the</w:t>
      </w:r>
      <w:r>
        <w:t xml:space="preserve"> </w:t>
      </w:r>
      <m:oMath>
        <m:r>
          <m:t>120</m:t>
        </m:r>
      </m:oMath>
      <w:r>
        <w:t xml:space="preserve"> </w:t>
      </w:r>
      <w:r>
        <w:t xml:space="preserve">generated vertical items,</w:t>
      </w:r>
      <w:r>
        <w:t xml:space="preserve"> </w:t>
      </w:r>
      <m:oMath>
        <m:r>
          <m:t>71</m:t>
        </m:r>
        <m:r>
          <m:rPr>
            <m:sty m:val="p"/>
          </m:rPr>
          <m:t>%</m:t>
        </m:r>
      </m:oMath>
      <w:r>
        <w:rPr>
          <w:b/>
          <w:bCs/>
        </w:rPr>
        <w:t xml:space="preserve"> </w:t>
      </w:r>
      <w:r>
        <w:rPr>
          <w:b/>
          <w:bCs/>
        </w:rPr>
        <w:t xml:space="preserve">are discriminative</w:t>
      </w:r>
      <w:r>
        <w:t xml:space="preserve"> </w:t>
      </w:r>
      <w:r>
        <w:t xml:space="preserve">(a score range</w:t>
      </w:r>
      <w:r>
        <w:t xml:space="preserve"> </w:t>
      </w:r>
      <m:oMath>
        <m:r>
          <m:rPr>
            <m:sty m:val="p"/>
          </m:rPr>
          <m:t>≥</m:t>
        </m:r>
        <m:r>
          <m:t>0.15</m:t>
        </m:r>
      </m:oMath>
      <w:r>
        <w:t xml:space="preserve"> </w:t>
      </w:r>
      <w:r>
        <w:t xml:space="preserve">across the three models), with a mean per-item</w:t>
      </w:r>
      <w:r>
        <w:t xml:space="preserve"> </w:t>
      </w:r>
      <w:r>
        <w:t xml:space="preserve">range of</w:t>
      </w:r>
      <w:r>
        <w:t xml:space="preserve"> </w:t>
      </w:r>
      <m:oMath>
        <m:r>
          <m:t>0.33</m:t>
        </m:r>
      </m:oMath>
      <w:r>
        <w:t xml:space="preserve">; on drug-interaction and legal analysis the figure rises to</w:t>
      </w:r>
      <w:r>
        <w:t xml:space="preserve"> </w:t>
      </w:r>
      <m:oMath>
        <m:r>
          <m:t>78</m:t>
        </m:r>
        <m:r>
          <m:rPr>
            <m:sty m:val="p"/>
          </m:rPr>
          <m:t>%</m:t>
        </m:r>
      </m:oMath>
      <w:r>
        <w:t xml:space="preserve"> </w:t>
      </w:r>
      <w:r>
        <w:t xml:space="preserve">and</w:t>
      </w:r>
      <w:r>
        <w:t xml:space="preserve"> </w:t>
      </w:r>
      <m:oMath>
        <m:r>
          <m:t>85</m:t>
        </m:r>
        <m:r>
          <m:rPr>
            <m:sty m:val="p"/>
          </m:rPr>
          <m:t>%</m:t>
        </m:r>
      </m:oMath>
      <w:r>
        <w:t xml:space="preserve">. Where the items do not</w:t>
      </w:r>
      <w:r>
        <w:t xml:space="preserve"> </w:t>
      </w:r>
      <w:r>
        <w:t xml:space="preserve">separate the models they are honest about it: clinical reasoning is only</w:t>
      </w:r>
      <w:r>
        <w:t xml:space="preserve"> </w:t>
      </w:r>
      <m:oMath>
        <m:r>
          <m:t>50</m:t>
        </m:r>
        <m:r>
          <m:rPr>
            <m:sty m:val="p"/>
          </m:rPr>
          <m:t>%</m:t>
        </m:r>
      </m:oMath>
      <w:r>
        <w:t xml:space="preserve"> </w:t>
      </w:r>
      <w:r>
        <w:t xml:space="preserve">discriminative precisely because its</w:t>
      </w:r>
      <w:r>
        <w:t xml:space="preserve"> </w:t>
      </w:r>
      <w:r>
        <w:t xml:space="preserve">two stronger candidates are genuinely close (</w:t>
      </w:r>
      <m:oMath>
        <m:r>
          <m:t>0.873</m:t>
        </m:r>
      </m:oMath>
      <w:r>
        <w:t xml:space="preserve"> </w:t>
      </w:r>
      <w:r>
        <w:t xml:space="preserve">vs</w:t>
      </w:r>
      <w:r>
        <w:t xml:space="preserve"> </w:t>
      </w:r>
      <m:oMath>
        <m:r>
          <m:t>0.864</m:t>
        </m:r>
      </m:oMath>
      <w:r>
        <w:t xml:space="preserve">), so the items reflect a real near-tie rather than</w:t>
      </w:r>
      <w:r>
        <w:t xml:space="preserve"> </w:t>
      </w:r>
      <w:r>
        <w:t xml:space="preserve">manufacturing a gap. This is why the panel yields non-overlapping ranking intervals: the teacher supplies items that</w:t>
      </w:r>
      <w:r>
        <w:t xml:space="preserve"> </w:t>
      </w:r>
      <w:r>
        <w:t xml:space="preserve">carry ranking signal, and a non-discriminative benchmark, on which every model scores alike, could not separate the</w:t>
      </w:r>
      <w:r>
        <w:t xml:space="preserve"> </w:t>
      </w:r>
      <w:r>
        <w:t xml:space="preserve">candidates no matter how reliable the judges are.</w:t>
      </w:r>
    </w:p>
    <w:p>
      <w:pPr>
        <w:pStyle w:val="BodyText"/>
        <w:jc w:val="both"/>
        <w:keepNext w:val="0"/>
        <w:keepLines w:val="0"/>
        <w:widowControl w:val="1"/>
      </w:pPr>
      <w:r>
        <w:rPr>
          <w:b/>
          <w:bCs/>
        </w:rPr>
        <w:t xml:space="preserve">Finding (discriminative generation).</w:t>
      </w:r>
      <w:r>
        <w:t xml:space="preserve"> </w:t>
      </w:r>
      <w:r>
        <w:t xml:space="preserve">A good teacher generates items that separate the models. On the</w:t>
      </w:r>
      <w:r>
        <w:t xml:space="preserve"> </w:t>
      </w:r>
      <m:oMath>
        <m:r>
          <m:t>120</m:t>
        </m:r>
      </m:oMath>
      <w:r>
        <w:t xml:space="preserve"> </w:t>
      </w:r>
      <w:r>
        <w:t xml:space="preserve">CoEval-generated vertical items,</w:t>
      </w:r>
      <w:r>
        <w:t xml:space="preserve"> </w:t>
      </w:r>
      <m:oMath>
        <m:r>
          <m:t>71</m:t>
        </m:r>
        <m:r>
          <m:rPr>
            <m:sty m:val="p"/>
          </m:rPr>
          <m:t>%</m:t>
        </m:r>
      </m:oMath>
      <w:r>
        <w:t xml:space="preserve"> </w:t>
      </w:r>
      <w:r>
        <w:t xml:space="preserve">are discriminative (candidate-score range</w:t>
      </w:r>
      <w:r>
        <w:t xml:space="preserve"> </w:t>
      </w:r>
      <m:oMath>
        <m:r>
          <m:rPr>
            <m:sty m:val="p"/>
          </m:rPr>
          <m:t>≥</m:t>
        </m:r>
        <m:r>
          <m:t>0.15</m:t>
        </m:r>
      </m:oMath>
      <w:r>
        <w:t xml:space="preserve">, mean range</w:t>
      </w:r>
      <w:r>
        <w:t xml:space="preserve"> </w:t>
      </w:r>
      <m:oMath>
        <m:r>
          <m:t>0.33</m:t>
        </m:r>
      </m:oMath>
      <w:r>
        <w:t xml:space="preserve">),</w:t>
      </w:r>
      <w:r>
        <w:t xml:space="preserve"> </w:t>
      </w:r>
      <w:r>
        <w:t xml:space="preserve">and the fraction tracks the true model separation (drug-interaction</w:t>
      </w:r>
      <w:r>
        <w:t xml:space="preserve"> </w:t>
      </w:r>
      <m:oMath>
        <m:r>
          <m:t>78</m:t>
        </m:r>
        <m:r>
          <m:rPr>
            <m:sty m:val="p"/>
          </m:rPr>
          <m:t>%</m:t>
        </m:r>
      </m:oMath>
      <w:r>
        <w:t xml:space="preserve">, legal</w:t>
      </w:r>
      <w:r>
        <w:t xml:space="preserve"> </w:t>
      </w:r>
      <m:oMath>
        <m:r>
          <m:t>85</m:t>
        </m:r>
        <m:r>
          <m:rPr>
            <m:sty m:val="p"/>
          </m:rPr>
          <m:t>%</m:t>
        </m:r>
      </m:oMath>
      <w:r>
        <w:t xml:space="preserve">, clinical</w:t>
      </w:r>
      <w:r>
        <w:t xml:space="preserve"> </w:t>
      </w:r>
      <m:oMath>
        <m:r>
          <m:t>50</m:t>
        </m:r>
        <m:r>
          <m:rPr>
            <m:sty m:val="p"/>
          </m:rPr>
          <m:t>%</m:t>
        </m:r>
      </m:oMath>
      <w:r>
        <w:t xml:space="preserve"> </w:t>
      </w:r>
      <w:r>
        <w:t xml:space="preserve">where two</w:t>
      </w:r>
      <w:r>
        <w:t xml:space="preserve"> </w:t>
      </w:r>
      <w:r>
        <w:t xml:space="preserve">models are genuinely close), so the generated benchmark carries the ranking signal a saturated benchmark lacks.</w:t>
      </w:r>
    </w:p>
    <w:p>
      <w:pPr>
        <w:pStyle w:val="TableCaption"/>
        <w:spacing w:before="160" w:after="60" w:line="240" w:lineRule="auto"/>
        <w:jc w:val="center"/>
        <w:keepNext/>
        <w:keepLines/>
        <w:widowControl w:val="1"/>
      </w:pPr>
      <w:r>
        <w:rPr>
          <w:b/>
          <w:bCs/>
        </w:rPr>
        <w:t xml:space="preserve">Table 5.</w:t>
      </w:r>
      <w:r>
        <w:t xml:space="preserve"> </w:t>
      </w:r>
      <w:r>
        <w:t xml:space="preserve">CoEval ranks three candidate models on three custom, contamination-free verticals</w:t>
      </w:r>
      <w:r>
        <w:t xml:space="preserve"> </w:t>
      </w:r>
      <w:r>
        <w:t xml:space="preserve">generated from a task description with no labeled data. Scores are the cross-family ensemble mean (</w:t>
      </w:r>
      <m:oMath>
        <m:r>
          <m:rPr>
            <m:sty m:val="p"/>
          </m:rPr>
          <m:t>[</m:t>
        </m:r>
        <m:r>
          <m:t>0</m:t>
        </m:r>
        <m:r>
          <m:rPr>
            <m:sty m:val="p"/>
          </m:rPr>
          <m:t>,</m:t>
        </m:r>
        <m:r>
          <m:t>1</m:t>
        </m:r>
        <m:r>
          <m:rPr>
            <m:sty m:val="p"/>
          </m:rPr>
          <m:t>]</m:t>
        </m:r>
      </m:oMath>
      <w:r>
        <w:t xml:space="preserve">) with 95%</w:t>
      </w:r>
      <w:r>
        <w:t xml:space="preserve"> </w:t>
      </w:r>
      <w:r>
        <w:t xml:space="preserve">bootstrap CI over</w:t>
      </w:r>
      <w:r>
        <w:t xml:space="preserve"> </w:t>
      </w:r>
      <m:oMath>
        <m:r>
          <m:t>40</m:t>
        </m:r>
      </m:oMath>
      <w:r>
        <w:t xml:space="preserve"> </w:t>
      </w:r>
      <w:r>
        <w:t xml:space="preserve">generated items.</w:t>
      </w:r>
      <w:r>
        <w:t xml:space="preserve"> </w:t>
      </w:r>
      <w:r>
        <w:rPr>
          <w:rStyle w:val="VerbatimChar"/>
        </w:rPr>
        <w:t xml:space="preserve">llama-3.2-3b</w:t>
      </w:r>
      <w:r>
        <w:t xml:space="preserve"> </w:t>
      </w:r>
      <w:r>
        <w:t xml:space="preserve">ranks weakest in every vertical; the three judges</w:t>
      </w:r>
      <w:r>
        <w:t xml:space="preserve"> </w:t>
      </w:r>
      <w:r>
        <w:t xml:space="preserve">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5. CoEval ranks three candidate models on three custom, contamination-free verticals generated from a task description with no labeled data. Scores are the cross-family ensemble mean ([0,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Vertical / Model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ensemble score [95%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Drug–drug interaction reasoning</w:t>
            </w:r>
            <w:r>
              <w:rPr>
                <w:rFonts w:ascii="Times New Roman" w:hAnsi="Times New Roman"/>
                <w:sz w:val="20"/>
              </w:rPr>
              <w:t xml:space="preserve"> </w:t>
            </w:r>
            <w:r>
              <w:rPr>
                <w:rFonts w:ascii="Times New Roman" w:hAnsi="Times New Roman"/>
                <w:sz w:val="20"/>
              </w:rPr>
              <w:t xml:space="preserve">(judges unanimous)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0.770 [0.739, 0.800]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0.682 [0.646, 0.717]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0.497 [0.459, 0.532]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Clinical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0.873 [0.849, 0.895]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0.864 [0.840, 0.885]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0.814 [0.784, 0.844]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Legal analysis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0.982 [0.973, 0.991]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0.740 [0.709, 0.770]</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0.709 [0.677, 0.744]</w:t>
            </w:r>
          </w:p>
        </w:tc>
      </w:tr>
    </w:tbl>
    <w:bookmarkEnd w:id="27"/>
    <w:bookmarkStart w:id="28" w:name="X5b909f8979da9f44974797188bca91411bc1d26"/>
    <w:p>
      <w:pPr>
        <w:pStyle w:val="Heading3"/>
        <w:keepNext/>
        <w:keepLines/>
        <w:widowControl w:val="1"/>
      </w:pPr>
      <w:r>
        <w:t xml:space="preserve">5.8 Rankings are domain-specific: why a generic leaderboard misleads</w:t>
      </w:r>
    </w:p>
    <w:p>
      <w:pPr>
        <w:pStyle w:val="FirstParagraph"/>
        <w:jc w:val="both"/>
        <w:keepNext w:val="0"/>
        <w:keepLines w:val="0"/>
        <w:widowControl w:val="1"/>
      </w:pPr>
      <w:r>
        <w:t xml:space="preserve">The case studies above rank models</w:t>
      </w:r>
      <w:r>
        <w:t xml:space="preserve"> </w:t>
      </w:r>
      <w:r>
        <w:rPr>
          <w:i/>
          <w:iCs/>
        </w:rPr>
        <w:t xml:space="preserve">within</w:t>
      </w:r>
      <w:r>
        <w:t xml:space="preserve"> </w:t>
      </w:r>
      <w:r>
        <w:t xml:space="preserve">one domain. The premise of a custom-evaluation tool is that this</w:t>
      </w:r>
      <w:r>
        <w:t xml:space="preserve"> </w:t>
      </w:r>
      <w:r>
        <w:t xml:space="preserve">is necessary: the best model for one domain need not be the best for another, so a single public leaderboard, which</w:t>
      </w:r>
      <w:r>
        <w:t xml:space="preserve"> </w:t>
      </w:r>
      <w:r>
        <w:t xml:space="preserve">pools tasks into one number, can send a practitioner to the wrong model. We test this directly. From four one-line</w:t>
      </w:r>
      <w:r>
        <w:t xml:space="preserve"> </w:t>
      </w:r>
      <w:r>
        <w:t xml:space="preserve">descriptions,</w:t>
      </w:r>
      <w:r>
        <w:t xml:space="preserve"> </w:t>
      </w:r>
      <w:r>
        <w:rPr>
          <w:i/>
          <w:iCs/>
        </w:rPr>
        <w:t xml:space="preserve">math word problems</w:t>
      </w:r>
      <w:r>
        <w:t xml:space="preserve">,</w:t>
      </w:r>
      <w:r>
        <w:t xml:space="preserve"> </w:t>
      </w:r>
      <w:r>
        <w:rPr>
          <w:i/>
          <w:iCs/>
        </w:rPr>
        <w:t xml:space="preserve">code explanation</w:t>
      </w:r>
      <w:r>
        <w:t xml:space="preserve">,</w:t>
      </w:r>
      <w:r>
        <w:t xml:space="preserve"> </w:t>
      </w:r>
      <w:r>
        <w:rPr>
          <w:i/>
          <w:iCs/>
        </w:rPr>
        <w:t xml:space="preserve">clinical reasoning</w:t>
      </w:r>
      <w:r>
        <w:t xml:space="preserve">, and</w:t>
      </w:r>
      <w:r>
        <w:t xml:space="preserve"> </w:t>
      </w:r>
      <w:r>
        <w:rPr>
          <w:i/>
          <w:iCs/>
        </w:rPr>
        <w:t xml:space="preserve">legal</w:t>
      </w:r>
      <w:r>
        <w:rPr>
          <w:i/>
          <w:iCs/>
        </w:rPr>
        <w:t xml:space="preserve"> </w:t>
      </w:r>
      <w:r>
        <w:rPr>
          <w:i/>
          <w:iCs/>
        </w:rPr>
        <w:t xml:space="preserve">analysis</w:t>
      </w:r>
      <w:r>
        <w:t xml:space="preserve">, CoEval generated</w:t>
      </w:r>
      <w:r>
        <w:t xml:space="preserve"> </w:t>
      </w:r>
      <m:oMath>
        <m:r>
          <m:t>25</m:t>
        </m:r>
      </m:oMath>
      <w:r>
        <w:t xml:space="preserve"> </w:t>
      </w:r>
      <w:r>
        <w:t xml:space="preserve">contamination-free items each (</w:t>
      </w:r>
      <m:oMath>
        <m:r>
          <m:t>100</m:t>
        </m:r>
      </m:oMath>
      <w:r>
        <w:t xml:space="preserve"> </w:t>
      </w:r>
      <w:r>
        <w:t xml:space="preserve">items), six candidate models answered them,</w:t>
      </w:r>
      <w:r>
        <w:t xml:space="preserve"> </w:t>
      </w:r>
      <w:r>
        <w:t xml:space="preserve">and the same vendor-disjoint cross-family panel (OpenAI + Anthropic + Google) scored every</w:t>
      </w:r>
      <w:r>
        <w:t xml:space="preserve"> </w:t>
      </w:r>
      <w:r>
        <w:t xml:space="preserve">response:</w:t>
      </w:r>
      <w:r>
        <w:t xml:space="preserve"> </w:t>
      </w:r>
      <m:oMath>
        <m:r>
          <m:t>1</m:t>
        </m:r>
        <m:r>
          <m:rPr>
            <m:sty m:val="p"/>
          </m:rPr>
          <m:t>,</m:t>
        </m:r>
        <m:r>
          <m:t>800</m:t>
        </m:r>
      </m:oMath>
      <w:r>
        <w:t xml:space="preserve"> </w:t>
      </w:r>
      <w:r>
        <w:t xml:space="preserve">evaluations at full coverage, from one configuration file, for USD 0.83.</w:t>
      </w:r>
    </w:p>
    <w:p>
      <w:pPr>
        <w:pStyle w:val="BodyText"/>
        <w:jc w:val="both"/>
        <w:keepNext w:val="0"/>
        <w:keepLines w:val="0"/>
        <w:widowControl w:val="1"/>
      </w:pPr>
      <w:r>
        <w:t xml:space="preserve">The four per-domain rankings</w:t>
      </w:r>
      <w:r>
        <w:t xml:space="preserve"> </w:t>
      </w:r>
      <w:r>
        <w:rPr>
          <w:b/>
          <w:bCs/>
        </w:rPr>
        <w:t xml:space="preserve">disagree sharply</w:t>
      </w:r>
      <w:r>
        <w:t xml:space="preserve">. Three different models take first place across the four</w:t>
      </w:r>
      <w:r>
        <w:t xml:space="preserve"> </w:t>
      </w:r>
      <w:r>
        <w:t xml:space="preserve">domains, and each winner is stable under a bootstrap over items (</w:t>
      </w:r>
      <m:oMath>
        <m:r>
          <m:t>B</m:t>
        </m:r>
        <m:r>
          <m:rPr>
            <m:sty m:val="p"/>
          </m:rPr>
          <m:t>=</m:t>
        </m:r>
        <m:r>
          <m:t>2000</m:t>
        </m:r>
      </m:oMath>
      <w:r>
        <w:t xml:space="preserve">):</w:t>
      </w:r>
      <w:r>
        <w:t xml:space="preserve"> </w:t>
      </w:r>
      <w:r>
        <w:rPr>
          <w:rStyle w:val="VerbatimChar"/>
        </w:rPr>
        <w:t xml:space="preserve">gpt-4o-mini</w:t>
      </w:r>
      <w:r>
        <w:t xml:space="preserve"> </w:t>
      </w:r>
      <w:r>
        <w:t xml:space="preserve">tops clinical</w:t>
      </w:r>
      <w:r>
        <w:t xml:space="preserve"> </w:t>
      </w:r>
      <w:r>
        <w:t xml:space="preserve">reasoning (top with probability</w:t>
      </w:r>
      <w:r>
        <w:t xml:space="preserve"> </w:t>
      </w:r>
      <m:oMath>
        <m:r>
          <m:t>0.88</m:t>
        </m:r>
      </m:oMath>
      <w:r>
        <w:t xml:space="preserve">) and code explanation (</w:t>
      </w:r>
      <m:oMath>
        <m:r>
          <m:t>0.60</m:t>
        </m:r>
      </m:oMath>
      <w:r>
        <w:t xml:space="preserve">),</w:t>
      </w:r>
      <w:r>
        <w:t xml:space="preserve"> </w:t>
      </w:r>
      <w:r>
        <w:rPr>
          <w:rStyle w:val="VerbatimChar"/>
        </w:rPr>
        <w:t xml:space="preserve">gemini-flash</w:t>
      </w:r>
      <w:r>
        <w:t xml:space="preserve"> </w:t>
      </w:r>
      <w:r>
        <w:t xml:space="preserve">tops legal analysis</w:t>
      </w:r>
      <w:r>
        <w:t xml:space="preserve"> </w:t>
      </w:r>
      <w:r>
        <w:t xml:space="preserve">(</w:t>
      </w:r>
      <m:oMath>
        <m:r>
          <m:t>1.00</m:t>
        </m:r>
      </m:oMath>
      <w:r>
        <w:t xml:space="preserve">), and</w:t>
      </w:r>
      <w:r>
        <w:t xml:space="preserve"> </w:t>
      </w:r>
      <w:r>
        <w:rPr>
          <w:rStyle w:val="VerbatimChar"/>
        </w:rPr>
        <w:t xml:space="preserve">claude-3.5-haiku</w:t>
      </w:r>
      <w:r>
        <w:t xml:space="preserve"> </w:t>
      </w:r>
      <w:r>
        <w:t xml:space="preserve">tops math word problems (</w:t>
      </w:r>
      <m:oMath>
        <m:r>
          <m:t>0.85</m:t>
        </m:r>
      </m:oMath>
      <w:r>
        <w:t xml:space="preserve">). The movement is not confined to the lead:</w:t>
      </w:r>
      <w:r>
        <w:t xml:space="preserve"> </w:t>
      </w:r>
      <w:r>
        <w:rPr>
          <w:rStyle w:val="VerbatimChar"/>
        </w:rPr>
        <w:t xml:space="preserve">gpt-4o-mini</w:t>
      </w:r>
      <w:r>
        <w:t xml:space="preserve"> </w:t>
      </w:r>
      <w:r>
        <w:t xml:space="preserve">falls from first on clinical reasoning to fifth of six on math (where it is top in only</w:t>
      </w:r>
      <w:r>
        <w:t xml:space="preserve"> </w:t>
      </w:r>
      <m:oMath>
        <m:r>
          <m:t>0.001</m:t>
        </m:r>
      </m:oMath>
      <w:r>
        <w:t xml:space="preserve"> </w:t>
      </w:r>
      <w:r>
        <w:t xml:space="preserve">of bootstrap draws), and</w:t>
      </w:r>
      <w:r>
        <w:t xml:space="preserve"> </w:t>
      </w:r>
      <w:r>
        <w:rPr>
          <w:rStyle w:val="VerbatimChar"/>
        </w:rPr>
        <w:t xml:space="preserve">claude-3.5-haiku</w:t>
      </w:r>
      <w:r>
        <w:t xml:space="preserve"> </w:t>
      </w:r>
      <w:r>
        <w:t xml:space="preserve">moves the opposite way, from first on math to fifth on</w:t>
      </w:r>
      <w:r>
        <w:t xml:space="preserve"> </w:t>
      </w:r>
      <w:r>
        <w:t xml:space="preserve">code (Table 6). The mean cross-domain rank agreement is low (Kendall </w:t>
      </w:r>
      <m:oMath>
        <m:r>
          <m:t>τ</m:t>
        </m:r>
        <m:r>
          <m:rPr>
            <m:sty m:val="p"/>
          </m:rPr>
          <m:t>=</m:t>
        </m:r>
        <m:r>
          <m:t>0.19</m:t>
        </m:r>
      </m:oMath>
      <w:r>
        <w:t xml:space="preserve"> </w:t>
      </w:r>
      <w:r>
        <w:t xml:space="preserve">averaged over the six</w:t>
      </w:r>
      <w:r>
        <w:t xml:space="preserve"> </w:t>
      </w:r>
      <w:r>
        <w:t xml:space="preserve">domain pairs); the least-aligned pair, code explanation versus math word problems, has a negative point estimate</w:t>
      </w:r>
      <w:r>
        <w:t xml:space="preserve"> </w:t>
      </w:r>
      <w:r>
        <w:t xml:space="preserve">(</w:t>
      </w:r>
      <m:oMath>
        <m:r>
          <m:t>τ</m:t>
        </m:r>
        <m:r>
          <m:rPr>
            <m:sty m:val="p"/>
          </m:rPr>
          <m:t>=</m:t>
        </m:r>
        <m:r>
          <m:rPr>
            <m:sty m:val="p"/>
          </m:rPr>
          <m:t>−</m:t>
        </m:r>
        <m:r>
          <m:t>0.41</m:t>
        </m:r>
      </m:oMath>
      <w:r>
        <w:t xml:space="preserve">).</w:t>
      </w:r>
    </w:p>
    <w:p>
      <w:pPr>
        <w:pStyle w:val="BodyText"/>
        <w:jc w:val="both"/>
        <w:keepNext w:val="0"/>
        <w:keepLines w:val="0"/>
        <w:widowControl w:val="1"/>
      </w:pPr>
      <w:r>
        <w:t xml:space="preserve">This is exactly the regret a generic leaderboard incurs. Pooling the four domains into one average ranks</w:t>
      </w:r>
      <w:r>
        <w:t xml:space="preserve"> </w:t>
      </w:r>
      <w:r>
        <w:rPr>
          <w:rStyle w:val="VerbatimChar"/>
        </w:rPr>
        <w:t xml:space="preserve">gemini-flash</w:t>
      </w:r>
      <w:r>
        <w:t xml:space="preserve"> </w:t>
      </w:r>
      <w:r>
        <w:t xml:space="preserve">first, but that model is the correct pick for only one of the four domains (legal analysis);</w:t>
      </w:r>
      <w:r>
        <w:t xml:space="preserve"> </w:t>
      </w:r>
      <w:r>
        <w:t xml:space="preserve">on clinical reasoning and code explanation the best model is</w:t>
      </w:r>
      <w:r>
        <w:t xml:space="preserve"> </w:t>
      </w:r>
      <w:r>
        <w:rPr>
          <w:rStyle w:val="VerbatimChar"/>
        </w:rPr>
        <w:t xml:space="preserve">gpt-4o-mini</w:t>
      </w:r>
      <w:r>
        <w:t xml:space="preserve">, and on math it is</w:t>
      </w:r>
      <w:r>
        <w:t xml:space="preserve"> </w:t>
      </w:r>
      <w:r>
        <w:rPr>
          <w:rStyle w:val="VerbatimChar"/>
        </w:rPr>
        <w:t xml:space="preserve">claude-3.5-haiku</w:t>
      </w:r>
      <w:r>
        <w:t xml:space="preserve">, which the pooled board ranks only third. A practitioner who reads the generic</w:t>
      </w:r>
      <w:r>
        <w:t xml:space="preserve"> </w:t>
      </w:r>
      <w:r>
        <w:t xml:space="preserve">leaderboard and deploys its top model is choosing the domain-best model in just one of four cases. CoEval removes the</w:t>
      </w:r>
      <w:r>
        <w:t xml:space="preserve"> </w:t>
      </w:r>
      <w:r>
        <w:t xml:space="preserve">guess: it ranks the candidates on the practitioner's own domain, contamination-free, with no labeled data.</w:t>
      </w:r>
    </w:p>
    <w:p>
      <w:pPr>
        <w:pStyle w:val="BodyText"/>
        <w:jc w:val="both"/>
        <w:keepNext w:val="0"/>
        <w:keepLines w:val="0"/>
        <w:widowControl w:val="1"/>
      </w:pPr>
      <w:r>
        <w:rPr>
          <w:b/>
          <w:bCs/>
        </w:rPr>
        <w:t xml:space="preserve">Finding (domain-specific ranking).</w:t>
      </w:r>
      <w:r>
        <w:t xml:space="preserve"> </w:t>
      </w:r>
      <w:r>
        <w:t xml:space="preserve">Across four de-novo domains scored by one vendor-disjoint panel</w:t>
      </w:r>
      <w:r>
        <w:t xml:space="preserve"> </w:t>
      </w:r>
      <w:r>
        <w:t xml:space="preserve">(</w:t>
      </w:r>
      <m:oMath>
        <m:r>
          <m:t>1</m:t>
        </m:r>
        <m:r>
          <m:rPr>
            <m:sty m:val="p"/>
          </m:rPr>
          <m:t>,</m:t>
        </m:r>
        <m:r>
          <m:t>800</m:t>
        </m:r>
      </m:oMath>
      <w:r>
        <w:t xml:space="preserve"> </w:t>
      </w:r>
      <w:r>
        <w:t xml:space="preserve">evaluations), three different models take first place and the mean cross-domain rank agreement is weak</w:t>
      </w:r>
      <w:r>
        <w:t xml:space="preserve"> </w:t>
      </w:r>
      <w:r>
        <w:t xml:space="preserve">(Kendall </w:t>
      </w:r>
      <m:oMath>
        <m:r>
          <m:t>τ</m:t>
        </m:r>
        <m:r>
          <m:rPr>
            <m:sty m:val="p"/>
          </m:rPr>
          <m:t>=</m:t>
        </m:r>
        <m:r>
          <m:t>0.19</m:t>
        </m:r>
      </m:oMath>
      <w:r>
        <w:t xml:space="preserve">); the winners are bootstrap-stable (</w:t>
      </w:r>
      <m:oMath>
        <m:r>
          <m:t>P</m:t>
        </m:r>
        <m:r>
          <m:rPr>
            <m:sty m:val="p"/>
          </m:rPr>
          <m:t>(</m:t>
        </m:r>
        <m:r>
          <m:rPr>
            <m:nor/>
            <m:sty m:val="p"/>
          </m:rPr>
          <m:t>top</m:t>
        </m:r>
        <m:r>
          <m:rPr>
            <m:sty m:val="p"/>
          </m:rPr>
          <m:t>)</m:t>
        </m:r>
        <m:r>
          <m:rPr>
            <m:sty m:val="p"/>
          </m:rPr>
          <m:t>=</m:t>
        </m:r>
        <m:r>
          <m:t>0.88</m:t>
        </m:r>
      </m:oMath>
      <w:r>
        <w:t xml:space="preserve">–</w:t>
      </w:r>
      <m:oMath>
        <m:r>
          <m:t>1.00</m:t>
        </m:r>
      </m:oMath>
      <w:r>
        <w:t xml:space="preserve">). A generic</w:t>
      </w:r>
      <w:r>
        <w:t xml:space="preserve"> </w:t>
      </w:r>
      <w:r>
        <w:t xml:space="preserve">leaderboard that pools the domains crowns a model that is domain-best in only one of the four, so a single number</w:t>
      </w:r>
      <w:r>
        <w:t xml:space="preserve"> </w:t>
      </w:r>
      <w:r>
        <w:t xml:space="preserve">misdirects three of four domain practitioners. Domain-specific evaluation is the operation CoEval is built to perform.</w:t>
      </w:r>
    </w:p>
    <w:p>
      <w:pPr>
        <w:pStyle w:val="TableCaption"/>
        <w:spacing w:before="160" w:after="60" w:line="240" w:lineRule="auto"/>
        <w:jc w:val="center"/>
        <w:keepNext/>
        <w:keepLines/>
        <w:widowControl w:val="1"/>
      </w:pPr>
      <w:r>
        <w:rPr>
          <w:b/>
          <w:bCs/>
        </w:rPr>
        <w:t xml:space="preserve">Table 6.</w:t>
      </w:r>
      <w:r>
        <w:t xml:space="preserve"> </w:t>
      </w:r>
      <w:r>
        <w:t xml:space="preserve">The same six candidate models ranked by the same cross-family panel on four</w:t>
      </w:r>
      <w:r>
        <w:t xml:space="preserve"> </w:t>
      </w:r>
      <w:r>
        <w:t xml:space="preserve">CoEval-generated domains diverge: each cell is the model's rank (</w:t>
      </w:r>
      <m:oMath>
        <m:r>
          <m:t>1</m:t>
        </m:r>
      </m:oMath>
      <w:r>
        <w:t xml:space="preserve"> </w:t>
      </w:r>
      <w:r>
        <w:t xml:space="preserve">= best) in that domain, rows ordered by the</w:t>
      </w:r>
      <w:r>
        <w:t xml:space="preserve"> </w:t>
      </w:r>
      <w:r>
        <w:t xml:space="preserve">generic pooled leaderboard. Three distinct models win the four domains (highlighted), and the pooled-best model</w:t>
      </w:r>
      <w:r>
        <w:t xml:space="preserve"> </w:t>
      </w:r>
      <w:r>
        <w:t xml:space="preserve">(</w:t>
      </w:r>
      <w:r>
        <w:rPr>
          <w:rStyle w:val="VerbatimChar"/>
        </w:rPr>
        <w:t xml:space="preserve">gemini-flash</w:t>
      </w:r>
      <w:r>
        <w:t xml:space="preserve">) is domain-best in only one.</w:t>
      </w:r>
      <w:r>
        <w:t xml:space="preserve"> </w:t>
      </w:r>
      <w:r>
        <w:rPr>
          <w:rStyle w:val="VerbatimChar"/>
        </w:rPr>
        <w:t xml:space="preserve">gpt-4o-mini</w:t>
      </w:r>
      <w:r>
        <w:t xml:space="preserve"> </w:t>
      </w:r>
      <w:r>
        <w:t xml:space="preserve">swings from</w:t>
      </w:r>
      <w:r>
        <w:t xml:space="preserve"> </w:t>
      </w:r>
      <m:oMath>
        <m:r>
          <m:t>1</m:t>
        </m:r>
      </m:oMath>
      <w:r>
        <w:t xml:space="preserve">st to</w:t>
      </w:r>
      <w:r>
        <w:t xml:space="preserve"> </w:t>
      </w:r>
      <m:oMath>
        <m:r>
          <m:t>5</m:t>
        </m:r>
      </m:oMath>
      <w:r>
        <w:t xml:space="preserve">th and</w:t>
      </w:r>
      <w:r>
        <w:t xml:space="preserve"> </w:t>
      </w:r>
      <w:r>
        <w:rPr>
          <w:rStyle w:val="VerbatimChar"/>
        </w:rPr>
        <w:t xml:space="preserve">claude-3.5-haiku</w:t>
      </w:r>
      <w:r>
        <w:t xml:space="preserve"> </w:t>
      </w:r>
      <w:r>
        <w:t xml:space="preserve">from</w:t>
      </w:r>
      <w:r>
        <w:t xml:space="preserve"> </w:t>
      </w:r>
      <m:oMath>
        <m:r>
          <m:t>5</m:t>
        </m:r>
      </m:oMath>
      <w:r>
        <w:t xml:space="preserve">th to</w:t>
      </w:r>
      <w:r>
        <w:t xml:space="preserve"> </w:t>
      </w:r>
      <m:oMath>
        <m:r>
          <m:t>1</m:t>
        </m:r>
      </m:oMath>
      <w:r>
        <w:t xml:space="preserve">st across domains.</w:t>
      </w:r>
    </w:p>
    <w:tbl>
      <w:tblPr>
        <w:tblStyle w:val="Table"/>
        <w:tblW w:type="pct" w:w="5000"/>
        <w:jc w:val="center"/>
        <w:tblLook w:firstRow="1" w:lastRow="0" w:firstColumn="0" w:lastColumn="0" w:noHBand="0" w:noVBand="0" w:val="0020"/>
        <w:tblCaption w:val="Table 6. 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Pooled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Clinical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Code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Legal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Math</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gemini-flash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claude-3.5-haiku</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qwen-2.5-7b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llama-3.1-8b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gpt-3.5-turbo</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5</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3</w:t>
            </w:r>
          </w:p>
        </w:tc>
      </w:tr>
    </w:tbl>
    <w:bookmarkEnd w:id="28"/>
    <w:bookmarkEnd w:id="29"/>
    <w:bookmarkStart w:id="30"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and they explain</w:t>
      </w:r>
      <w:r>
        <w:t xml:space="preserve"> </w:t>
      </w:r>
      <w:r>
        <w:rPr>
          <w:i/>
          <w:iCs/>
        </w:rPr>
        <w:t xml:space="preserve">why</w:t>
      </w:r>
      <w:r>
        <w:t xml:space="preserve"> </w:t>
      </w:r>
      <w:r>
        <w:t xml:space="preserve">the label-free judging is trustworthy.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declarative configuration regenerates the benchmark, the responses, and</w:t>
      </w:r>
      <w:r>
        <w:t xml:space="preserve"> </w:t>
      </w:r>
      <w:r>
        <w:t xml:space="preserve">the scores.</w:t>
      </w:r>
    </w:p>
    <w:p>
      <w:pPr>
        <w:pStyle w:val="BodyText"/>
        <w:jc w:val="both"/>
        <w:keepNext w:val="0"/>
        <w:keepLines w:val="0"/>
        <w:widowControl w:val="1"/>
      </w:pPr>
      <w:r>
        <w:rPr>
          <w:b/>
          <w:bCs/>
        </w:rPr>
        <w:t xml:space="preserve">Scope and limitations.</w:t>
      </w:r>
      <w:r>
        <w:t xml:space="preserve"> </w:t>
      </w:r>
      <w:r>
        <w:t xml:space="preserve">Our ground-truth validation of the ranking operation uses objective</w:t>
      </w:r>
      <w:r>
        <w:t xml:space="preserve"> </w:t>
      </w:r>
      <w:r>
        <w:t xml:space="preserve">exact-match QA, where labels exist; on subjective custom domains (Section 5.7) we rely on the cross-family</w:t>
      </w:r>
      <w:r>
        <w:t xml:space="preserve"> </w:t>
      </w:r>
      <w:r>
        <w:t xml:space="preserve">ensemble and report intervals rather than a held-out gold ranking, because by assumption none exists. We study up to</w:t>
      </w:r>
      <w:r>
        <w:t xml:space="preserve"> </w:t>
      </w:r>
      <w:r>
        <w:t xml:space="preserve">six candidate models across four exact-match QA tasks, three custom verticals, and a four-domain divergence study</w:t>
      </w:r>
      <w:r>
        <w:t xml:space="preserve"> </w:t>
      </w:r>
      <w:r>
        <w:t xml:space="preserve">(Section 5.8); broader model pools and additional domains would further</w:t>
      </w:r>
      <w:r>
        <w:t xml:space="preserve"> </w:t>
      </w:r>
      <w:r>
        <w:t xml:space="preserve">test generality. The contamination guarantee is structural (fresh per-run synthesis), validated both by zero verbatim</w:t>
      </w:r>
      <w:r>
        <w:t xml:space="preserve"> </w:t>
      </w:r>
      <w:r>
        <w:t xml:space="preserve">overlap and by a controlled memorization study (Section 5.5); a verbatim n-gram test is not a membership test</w:t>
      </w:r>
      <w:r>
        <w:t xml:space="preserve"> </w:t>
      </w:r>
      <w:r>
        <w:t xml:space="preserve">against any model's full pretraining corpus.</w:t>
      </w:r>
    </w:p>
    <w:bookmarkEnd w:id="30"/>
    <w:bookmarkStart w:id="31"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tool for ranking language models on custom tasks and domains when neither labeled data nor a trustworthy benchmark is available: from a task description alone it generates a fresh, contamination-resistant benchmark and ranks candidate models with a cross-family judge ensemble, with no human annotation.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all at USD 5.89 for 7,978 evaluations.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 The panel is also self-validating: because a</w:t>
      </w:r>
      <w:r>
        <w:t xml:space="preserve"> </w:t>
      </w:r>
      <w:r>
        <w:t xml:space="preserve">judge's agreement with its peers is a label-free reliability estimate, the ensemble detects and zeroes out broken judges</w:t>
      </w:r>
      <w:r>
        <w:t xml:space="preserve"> </w:t>
      </w:r>
      <w:r>
        <w:t xml:space="preserve">with no ground truth, a safeguard a single judge cannot provide. Because the same declarative pipeline runs</w:t>
      </w:r>
      <w:r>
        <w:t xml:space="preserve"> </w:t>
      </w:r>
      <w:r>
        <w:t xml:space="preserve">unchanged across models and domains and is cheap enough to repeat on every model release, CoEval is a reusable</w:t>
      </w:r>
      <w:r>
        <w:t xml:space="preserve"> </w:t>
      </w:r>
      <w:r>
        <w:t xml:space="preserve">instrument a team points at its own application when neither labeled data nor a trustworthy benchmark exists, rather</w:t>
      </w:r>
      <w:r>
        <w:t xml:space="preserve"> </w:t>
      </w:r>
      <w:r>
        <w:t xml:space="preserve">than a single static study. CoEval is open-source, declarative, and fully reproducible.</w:t>
      </w:r>
    </w:p>
    <w:bookmarkEnd w:id="31"/>
    <w:bookmarkStart w:id="98" w:name="references"/>
    <w:p>
      <w:pPr>
        <w:pStyle w:val="ReferencesHeading"/>
        <w:jc w:val="left"/>
        <w:keepNext/>
        <w:keepLines/>
        <w:widowControl w:val="1"/>
      </w:pPr>
      <w:r>
        <w:t xml:space="preserve">References</w:t>
      </w:r>
    </w:p>
    <w:p>
      <w:pPr>
        <w:pStyle w:val="ReferenceEntry"/>
        <w:numPr>
          <w:ilvl w:val="0"/>
          <w:numId w:val="1002"/>
        </w:numPr>
        <w:jc w:val="left"/>
        <w:keepNext w:val="0"/>
        <w:keepLines w:val="0"/>
        <w:widowControl w:val="1"/>
      </w:pPr>
      <w:bookmarkStart w:id="33"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32">
        <w:r>
          <w:rPr>
            <w:rStyle w:val="Hyperlink"/>
          </w:rPr>
          <w:t xml:space="preserve">arxiv.org/abs/2306.05685</w:t>
        </w:r>
      </w:hyperlink>
      <w:bookmarkEnd w:id="33"/>
    </w:p>
    <w:p>
      <w:pPr>
        <w:pStyle w:val="ReferenceEntry"/>
        <w:numPr>
          <w:ilvl w:val="0"/>
          <w:numId w:val="1002"/>
        </w:numPr>
        <w:jc w:val="left"/>
        <w:keepNext w:val="0"/>
        <w:keepLines w:val="0"/>
        <w:widowControl w:val="1"/>
      </w:pPr>
      <w:bookmarkStart w:id="35"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34">
        <w:r>
          <w:rPr>
            <w:rStyle w:val="Hyperlink"/>
          </w:rPr>
          <w:t xml:space="preserve">arxiv.org/abs/2303.16634</w:t>
        </w:r>
      </w:hyperlink>
      <w:bookmarkEnd w:id="35"/>
    </w:p>
    <w:p>
      <w:pPr>
        <w:pStyle w:val="ReferenceEntry"/>
        <w:numPr>
          <w:ilvl w:val="0"/>
          <w:numId w:val="1002"/>
        </w:numPr>
        <w:jc w:val="left"/>
        <w:keepNext w:val="0"/>
        <w:keepLines w:val="0"/>
        <w:widowControl w:val="1"/>
      </w:pPr>
      <w:bookmarkStart w:id="37"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36">
        <w:r>
          <w:rPr>
            <w:rStyle w:val="Hyperlink"/>
          </w:rPr>
          <w:t xml:space="preserve">arxiv.org/abs/2405.01535</w:t>
        </w:r>
      </w:hyperlink>
      <w:bookmarkEnd w:id="37"/>
    </w:p>
    <w:p>
      <w:pPr>
        <w:pStyle w:val="ReferenceEntry"/>
        <w:numPr>
          <w:ilvl w:val="0"/>
          <w:numId w:val="1002"/>
        </w:numPr>
        <w:jc w:val="left"/>
        <w:keepNext w:val="0"/>
        <w:keepLines w:val="0"/>
        <w:widowControl w:val="1"/>
      </w:pPr>
      <w:bookmarkStart w:id="39"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38">
        <w:r>
          <w:rPr>
            <w:rStyle w:val="Hyperlink"/>
          </w:rPr>
          <w:t xml:space="preserve">arxiv.org/abs/2407.10817</w:t>
        </w:r>
      </w:hyperlink>
      <w:bookmarkEnd w:id="39"/>
    </w:p>
    <w:p>
      <w:pPr>
        <w:pStyle w:val="ReferenceEntry"/>
        <w:numPr>
          <w:ilvl w:val="0"/>
          <w:numId w:val="1002"/>
        </w:numPr>
        <w:jc w:val="left"/>
        <w:keepNext w:val="0"/>
        <w:keepLines w:val="0"/>
        <w:widowControl w:val="1"/>
      </w:pPr>
      <w:bookmarkStart w:id="41"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40">
        <w:r>
          <w:rPr>
            <w:rStyle w:val="Hyperlink"/>
          </w:rPr>
          <w:t xml:space="preserve">arxiv.org/abs/2404.18796</w:t>
        </w:r>
      </w:hyperlink>
      <w:bookmarkEnd w:id="41"/>
    </w:p>
    <w:p>
      <w:pPr>
        <w:pStyle w:val="ReferenceEntry"/>
        <w:numPr>
          <w:ilvl w:val="0"/>
          <w:numId w:val="1002"/>
        </w:numPr>
        <w:jc w:val="left"/>
        <w:keepNext w:val="0"/>
        <w:keepLines w:val="0"/>
        <w:widowControl w:val="1"/>
      </w:pPr>
      <w:bookmarkStart w:id="43"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42">
        <w:r>
          <w:rPr>
            <w:rStyle w:val="Hyperlink"/>
          </w:rPr>
          <w:t xml:space="preserve">arxiv.org/abs/2410.12784</w:t>
        </w:r>
      </w:hyperlink>
      <w:bookmarkEnd w:id="43"/>
    </w:p>
    <w:p>
      <w:pPr>
        <w:pStyle w:val="ReferenceEntry"/>
        <w:numPr>
          <w:ilvl w:val="0"/>
          <w:numId w:val="1002"/>
        </w:numPr>
        <w:jc w:val="left"/>
        <w:keepNext w:val="0"/>
        <w:keepLines w:val="0"/>
        <w:widowControl w:val="1"/>
      </w:pPr>
      <w:bookmarkStart w:id="45"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44">
        <w:r>
          <w:rPr>
            <w:rStyle w:val="Hyperlink"/>
          </w:rPr>
          <w:t xml:space="preserve">arxiv.org/abs/2406.05761</w:t>
        </w:r>
      </w:hyperlink>
      <w:bookmarkEnd w:id="45"/>
    </w:p>
    <w:p>
      <w:pPr>
        <w:pStyle w:val="ReferenceEntry"/>
        <w:numPr>
          <w:ilvl w:val="0"/>
          <w:numId w:val="1002"/>
        </w:numPr>
        <w:jc w:val="left"/>
        <w:keepNext w:val="0"/>
        <w:keepLines w:val="0"/>
        <w:widowControl w:val="1"/>
      </w:pPr>
      <w:bookmarkStart w:id="47"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46">
        <w:r>
          <w:rPr>
            <w:rStyle w:val="Hyperlink"/>
          </w:rPr>
          <w:t xml:space="preserve">arxiv.org/abs/2404.04475</w:t>
        </w:r>
      </w:hyperlink>
      <w:bookmarkEnd w:id="47"/>
    </w:p>
    <w:p>
      <w:pPr>
        <w:pStyle w:val="ReferenceEntry"/>
        <w:numPr>
          <w:ilvl w:val="0"/>
          <w:numId w:val="1002"/>
        </w:numPr>
        <w:jc w:val="left"/>
        <w:keepNext w:val="0"/>
        <w:keepLines w:val="0"/>
        <w:widowControl w:val="1"/>
      </w:pPr>
      <w:bookmarkStart w:id="49" w:name="r9"/>
      <w:r>
        <w:t xml:space="preserve">Li, X. L., Kazemi, M., et al. (2024).</w:t>
      </w:r>
      <w:r>
        <w:t xml:space="preserve"> </w:t>
      </w:r>
      <w:r>
        <w:rPr>
          <w:i/>
          <w:iCs/>
        </w:rPr>
        <w:t xml:space="preserve">AutoBencher: Towards Declarative Benchmark Construction.</w:t>
      </w:r>
      <w:r>
        <w:t xml:space="preserve"> </w:t>
      </w:r>
      <w:hyperlink r:id="rId48">
        <w:r>
          <w:rPr>
            <w:rStyle w:val="Hyperlink"/>
          </w:rPr>
          <w:t xml:space="preserve">arxiv.org/abs/2407.08351</w:t>
        </w:r>
      </w:hyperlink>
      <w:bookmarkEnd w:id="49"/>
    </w:p>
    <w:p>
      <w:pPr>
        <w:pStyle w:val="ReferenceEntry"/>
        <w:numPr>
          <w:ilvl w:val="0"/>
          <w:numId w:val="1002"/>
        </w:numPr>
        <w:jc w:val="left"/>
        <w:keepNext w:val="0"/>
        <w:keepLines w:val="0"/>
        <w:widowControl w:val="1"/>
      </w:pPr>
      <w:bookmarkStart w:id="51"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50">
        <w:r>
          <w:rPr>
            <w:rStyle w:val="Hyperlink"/>
          </w:rPr>
          <w:t xml:space="preserve">arxiv.org/abs/2410.22584</w:t>
        </w:r>
      </w:hyperlink>
      <w:bookmarkEnd w:id="51"/>
    </w:p>
    <w:p>
      <w:pPr>
        <w:pStyle w:val="ReferenceEntry"/>
        <w:numPr>
          <w:ilvl w:val="0"/>
          <w:numId w:val="1002"/>
        </w:numPr>
        <w:jc w:val="left"/>
        <w:keepNext w:val="0"/>
        <w:keepLines w:val="0"/>
        <w:widowControl w:val="1"/>
      </w:pPr>
      <w:bookmarkStart w:id="53" w:name="r11"/>
      <w:r>
        <w:t xml:space="preserve">Shashidhar, S., et al. (2025).</w:t>
      </w:r>
      <w:r>
        <w:t xml:space="preserve"> </w:t>
      </w:r>
      <w:r>
        <w:rPr>
          <w:i/>
          <w:iCs/>
        </w:rPr>
        <w:t xml:space="preserve">YourBench: Easy Custom Evaluation Sets for Everyone.</w:t>
      </w:r>
      <w:r>
        <w:t xml:space="preserve"> </w:t>
      </w:r>
      <w:hyperlink r:id="rId52">
        <w:r>
          <w:rPr>
            <w:rStyle w:val="Hyperlink"/>
          </w:rPr>
          <w:t xml:space="preserve">arxiv.org/abs/2504.01833</w:t>
        </w:r>
      </w:hyperlink>
      <w:bookmarkEnd w:id="53"/>
    </w:p>
    <w:p>
      <w:pPr>
        <w:pStyle w:val="ReferenceEntry"/>
        <w:numPr>
          <w:ilvl w:val="0"/>
          <w:numId w:val="1002"/>
        </w:numPr>
        <w:jc w:val="left"/>
        <w:keepNext w:val="0"/>
        <w:keepLines w:val="0"/>
        <w:widowControl w:val="1"/>
      </w:pPr>
      <w:bookmarkStart w:id="55"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54">
        <w:r>
          <w:rPr>
            <w:rStyle w:val="Hyperlink"/>
          </w:rPr>
          <w:t xml:space="preserve">arxiv.org/abs/2405.00332</w:t>
        </w:r>
      </w:hyperlink>
      <w:bookmarkEnd w:id="55"/>
    </w:p>
    <w:p>
      <w:pPr>
        <w:pStyle w:val="ReferenceEntry"/>
        <w:numPr>
          <w:ilvl w:val="0"/>
          <w:numId w:val="1002"/>
        </w:numPr>
        <w:jc w:val="left"/>
        <w:keepNext w:val="0"/>
        <w:keepLines w:val="0"/>
        <w:widowControl w:val="1"/>
      </w:pPr>
      <w:bookmarkStart w:id="57" w:name="r13"/>
      <w:r>
        <w:t xml:space="preserve">Xu, C., et al. (2025).</w:t>
      </w:r>
      <w:r>
        <w:t xml:space="preserve"> </w:t>
      </w:r>
      <w:r>
        <w:rPr>
          <w:i/>
          <w:iCs/>
        </w:rPr>
        <w:t xml:space="preserve">Benchmark Data Contamination of Large Language Models: A Survey.</w:t>
      </w:r>
      <w:r>
        <w:t xml:space="preserve"> </w:t>
      </w:r>
      <w:hyperlink r:id="rId56">
        <w:r>
          <w:rPr>
            <w:rStyle w:val="Hyperlink"/>
          </w:rPr>
          <w:t xml:space="preserve">arxiv.org/abs/2502.14425</w:t>
        </w:r>
      </w:hyperlink>
      <w:bookmarkEnd w:id="57"/>
    </w:p>
    <w:p>
      <w:pPr>
        <w:pStyle w:val="ReferenceEntry"/>
        <w:numPr>
          <w:ilvl w:val="0"/>
          <w:numId w:val="1002"/>
        </w:numPr>
        <w:jc w:val="left"/>
        <w:keepNext w:val="0"/>
        <w:keepLines w:val="0"/>
        <w:widowControl w:val="1"/>
      </w:pPr>
      <w:bookmarkStart w:id="59"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58">
        <w:r>
          <w:rPr>
            <w:rStyle w:val="Hyperlink"/>
          </w:rPr>
          <w:t xml:space="preserve">arxiv.org/abs/2104.14337</w:t>
        </w:r>
      </w:hyperlink>
      <w:bookmarkEnd w:id="59"/>
    </w:p>
    <w:p>
      <w:pPr>
        <w:pStyle w:val="ReferenceEntry"/>
        <w:numPr>
          <w:ilvl w:val="0"/>
          <w:numId w:val="1002"/>
        </w:numPr>
        <w:jc w:val="left"/>
        <w:keepNext w:val="0"/>
        <w:keepLines w:val="0"/>
        <w:widowControl w:val="1"/>
      </w:pPr>
      <w:bookmarkStart w:id="61"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60">
        <w:r>
          <w:rPr>
            <w:rStyle w:val="Hyperlink"/>
          </w:rPr>
          <w:t xml:space="preserve">arxiv.org/abs/2502.01534</w:t>
        </w:r>
      </w:hyperlink>
      <w:bookmarkEnd w:id="61"/>
    </w:p>
    <w:p>
      <w:pPr>
        <w:pStyle w:val="ReferenceEntry"/>
        <w:numPr>
          <w:ilvl w:val="0"/>
          <w:numId w:val="1002"/>
        </w:numPr>
        <w:jc w:val="left"/>
        <w:keepNext w:val="0"/>
        <w:keepLines w:val="0"/>
        <w:widowControl w:val="1"/>
      </w:pPr>
      <w:bookmarkStart w:id="63"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62">
        <w:r>
          <w:rPr>
            <w:rStyle w:val="Hyperlink"/>
          </w:rPr>
          <w:t xml:space="preserve">arxiv.org/abs/2508.06709</w:t>
        </w:r>
      </w:hyperlink>
      <w:bookmarkEnd w:id="63"/>
    </w:p>
    <w:p>
      <w:pPr>
        <w:pStyle w:val="ReferenceEntry"/>
        <w:numPr>
          <w:ilvl w:val="0"/>
          <w:numId w:val="1002"/>
        </w:numPr>
        <w:jc w:val="left"/>
        <w:keepNext w:val="0"/>
        <w:keepLines w:val="0"/>
        <w:widowControl w:val="1"/>
      </w:pPr>
      <w:bookmarkStart w:id="65"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64">
        <w:r>
          <w:rPr>
            <w:rStyle w:val="Hyperlink"/>
          </w:rPr>
          <w:t xml:space="preserve">arxiv.org/abs/2410.02736</w:t>
        </w:r>
      </w:hyperlink>
      <w:bookmarkEnd w:id="65"/>
    </w:p>
    <w:p>
      <w:pPr>
        <w:pStyle w:val="ReferenceEntry"/>
        <w:numPr>
          <w:ilvl w:val="0"/>
          <w:numId w:val="1002"/>
        </w:numPr>
        <w:jc w:val="left"/>
        <w:keepNext w:val="0"/>
        <w:keepLines w:val="0"/>
        <w:widowControl w:val="1"/>
      </w:pPr>
      <w:bookmarkStart w:id="67" w:name="r18"/>
      <w:r>
        <w:t xml:space="preserve">Wataoka, K., Takahashi, T., Ri, R. (2024).</w:t>
      </w:r>
      <w:r>
        <w:t xml:space="preserve"> </w:t>
      </w:r>
      <w:r>
        <w:rPr>
          <w:i/>
          <w:iCs/>
        </w:rPr>
        <w:t xml:space="preserve">Self-Preference Bias in LLM-as-a-Judge.</w:t>
      </w:r>
      <w:r>
        <w:t xml:space="preserve"> </w:t>
      </w:r>
      <w:hyperlink r:id="rId66">
        <w:r>
          <w:rPr>
            <w:rStyle w:val="Hyperlink"/>
          </w:rPr>
          <w:t xml:space="preserve">arxiv.org/abs/2410.21819</w:t>
        </w:r>
      </w:hyperlink>
      <w:bookmarkEnd w:id="67"/>
    </w:p>
    <w:p>
      <w:pPr>
        <w:pStyle w:val="ReferenceEntry"/>
        <w:numPr>
          <w:ilvl w:val="0"/>
          <w:numId w:val="1002"/>
        </w:numPr>
        <w:jc w:val="left"/>
        <w:keepNext w:val="0"/>
        <w:keepLines w:val="0"/>
        <w:widowControl w:val="1"/>
      </w:pPr>
      <w:bookmarkStart w:id="69" w:name="r19"/>
      <w:r>
        <w:t xml:space="preserve">Gu, J., Jiang, X., Shi, Z., et al. (2024).</w:t>
      </w:r>
      <w:r>
        <w:t xml:space="preserve"> </w:t>
      </w:r>
      <w:r>
        <w:rPr>
          <w:i/>
          <w:iCs/>
        </w:rPr>
        <w:t xml:space="preserve">A Survey on LLM-as-a-Judge.</w:t>
      </w:r>
      <w:r>
        <w:t xml:space="preserve"> </w:t>
      </w:r>
      <w:hyperlink r:id="rId68">
        <w:r>
          <w:rPr>
            <w:rStyle w:val="Hyperlink"/>
          </w:rPr>
          <w:t xml:space="preserve">arxiv.org/abs/2411.15594</w:t>
        </w:r>
      </w:hyperlink>
      <w:bookmarkEnd w:id="69"/>
    </w:p>
    <w:p>
      <w:pPr>
        <w:pStyle w:val="ReferenceEntry"/>
        <w:numPr>
          <w:ilvl w:val="0"/>
          <w:numId w:val="1002"/>
        </w:numPr>
        <w:jc w:val="left"/>
        <w:keepNext w:val="0"/>
        <w:keepLines w:val="0"/>
        <w:widowControl w:val="1"/>
      </w:pPr>
      <w:bookmarkStart w:id="71"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70">
        <w:r>
          <w:rPr>
            <w:rStyle w:val="Hyperlink"/>
          </w:rPr>
          <w:t xml:space="preserve">arxiv.org/abs/2411.16594</w:t>
        </w:r>
      </w:hyperlink>
      <w:bookmarkEnd w:id="71"/>
    </w:p>
    <w:p>
      <w:pPr>
        <w:pStyle w:val="ReferenceEntry"/>
        <w:numPr>
          <w:ilvl w:val="0"/>
          <w:numId w:val="1002"/>
        </w:numPr>
        <w:jc w:val="left"/>
        <w:keepNext w:val="0"/>
        <w:keepLines w:val="0"/>
        <w:widowControl w:val="1"/>
      </w:pPr>
      <w:bookmarkStart w:id="73"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72">
        <w:r>
          <w:rPr>
            <w:rStyle w:val="Hyperlink"/>
          </w:rPr>
          <w:t xml:space="preserve">arxiv.org/abs/2308.07201</w:t>
        </w:r>
      </w:hyperlink>
      <w:bookmarkEnd w:id="73"/>
    </w:p>
    <w:p>
      <w:pPr>
        <w:pStyle w:val="ReferenceEntry"/>
        <w:numPr>
          <w:ilvl w:val="0"/>
          <w:numId w:val="1002"/>
        </w:numPr>
        <w:jc w:val="left"/>
        <w:keepNext w:val="0"/>
        <w:keepLines w:val="0"/>
        <w:widowControl w:val="1"/>
      </w:pPr>
      <w:bookmarkStart w:id="75"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74">
        <w:r>
          <w:rPr>
            <w:rStyle w:val="Hyperlink"/>
          </w:rPr>
          <w:t xml:space="preserve">arxiv.org/abs/2406.19314</w:t>
        </w:r>
      </w:hyperlink>
      <w:bookmarkEnd w:id="75"/>
    </w:p>
    <w:p>
      <w:pPr>
        <w:pStyle w:val="ReferenceEntry"/>
        <w:numPr>
          <w:ilvl w:val="0"/>
          <w:numId w:val="1002"/>
        </w:numPr>
        <w:jc w:val="left"/>
        <w:keepNext w:val="0"/>
        <w:keepLines w:val="0"/>
        <w:widowControl w:val="1"/>
      </w:pPr>
      <w:bookmarkStart w:id="77"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76">
        <w:r>
          <w:rPr>
            <w:rStyle w:val="Hyperlink"/>
          </w:rPr>
          <w:t xml:space="preserve">arxiv.org/abs/2403.07974</w:t>
        </w:r>
      </w:hyperlink>
      <w:bookmarkEnd w:id="77"/>
    </w:p>
    <w:p>
      <w:pPr>
        <w:pStyle w:val="ReferenceEntry"/>
        <w:numPr>
          <w:ilvl w:val="0"/>
          <w:numId w:val="1002"/>
        </w:numPr>
        <w:jc w:val="left"/>
        <w:keepNext w:val="0"/>
        <w:keepLines w:val="0"/>
        <w:widowControl w:val="1"/>
      </w:pPr>
      <w:bookmarkStart w:id="79"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78">
        <w:r>
          <w:rPr>
            <w:rStyle w:val="Hyperlink"/>
          </w:rPr>
          <w:t xml:space="preserve">arxiv.org/abs/2504.03846</w:t>
        </w:r>
      </w:hyperlink>
      <w:bookmarkEnd w:id="79"/>
    </w:p>
    <w:p>
      <w:pPr>
        <w:pStyle w:val="ReferenceEntry"/>
        <w:numPr>
          <w:ilvl w:val="0"/>
          <w:numId w:val="1002"/>
        </w:numPr>
        <w:jc w:val="left"/>
        <w:keepNext w:val="0"/>
        <w:keepLines w:val="0"/>
        <w:widowControl w:val="1"/>
      </w:pPr>
      <w:bookmarkStart w:id="81"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80">
        <w:r>
          <w:rPr>
            <w:rStyle w:val="Hyperlink"/>
          </w:rPr>
          <w:t xml:space="preserve">arxiv.org/abs/2408.08808</w:t>
        </w:r>
      </w:hyperlink>
      <w:bookmarkEnd w:id="81"/>
    </w:p>
    <w:p>
      <w:pPr>
        <w:pStyle w:val="ReferenceEntry"/>
        <w:numPr>
          <w:ilvl w:val="0"/>
          <w:numId w:val="1002"/>
        </w:numPr>
        <w:jc w:val="left"/>
        <w:keepNext w:val="0"/>
        <w:keepLines w:val="0"/>
        <w:widowControl w:val="1"/>
      </w:pPr>
      <w:bookmarkStart w:id="83" w:name="r26"/>
      <w:r>
        <w:t xml:space="preserve">Li, Y., et al. (2025).</w:t>
      </w:r>
      <w:r>
        <w:t xml:space="preserve"> </w:t>
      </w:r>
      <w:r>
        <w:rPr>
          <w:i/>
          <w:iCs/>
        </w:rPr>
        <w:t xml:space="preserve">Leveraging LLMs as Meta-Judges: A Multi-Agent Framework.</w:t>
      </w:r>
      <w:r>
        <w:t xml:space="preserve"> </w:t>
      </w:r>
      <w:hyperlink r:id="rId82">
        <w:r>
          <w:rPr>
            <w:rStyle w:val="Hyperlink"/>
          </w:rPr>
          <w:t xml:space="preserve">arxiv.org/abs/2504.17087</w:t>
        </w:r>
      </w:hyperlink>
      <w:bookmarkEnd w:id="83"/>
    </w:p>
    <w:p>
      <w:pPr>
        <w:pStyle w:val="ReferenceEntry"/>
        <w:numPr>
          <w:ilvl w:val="0"/>
          <w:numId w:val="1002"/>
        </w:numPr>
        <w:jc w:val="left"/>
        <w:keepNext w:val="0"/>
        <w:keepLines w:val="0"/>
        <w:widowControl w:val="1"/>
      </w:pPr>
      <w:bookmarkStart w:id="85"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84">
        <w:r>
          <w:rPr>
            <w:rStyle w:val="Hyperlink"/>
          </w:rPr>
          <w:t xml:space="preserve">arxiv.org/abs/2602.16610</w:t>
        </w:r>
      </w:hyperlink>
      <w:bookmarkEnd w:id="85"/>
    </w:p>
    <w:p>
      <w:pPr>
        <w:pStyle w:val="ReferenceEntry"/>
        <w:numPr>
          <w:ilvl w:val="0"/>
          <w:numId w:val="1002"/>
        </w:numPr>
        <w:jc w:val="left"/>
        <w:keepNext w:val="0"/>
        <w:keepLines w:val="0"/>
        <w:widowControl w:val="1"/>
      </w:pPr>
      <w:bookmarkStart w:id="87"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86">
        <w:r>
          <w:rPr>
            <w:rStyle w:val="Hyperlink"/>
          </w:rPr>
          <w:t xml:space="preserve">arxiv.org/abs/2603.00039</w:t>
        </w:r>
      </w:hyperlink>
      <w:bookmarkEnd w:id="87"/>
    </w:p>
    <w:p>
      <w:pPr>
        <w:pStyle w:val="ReferenceEntry"/>
        <w:numPr>
          <w:ilvl w:val="0"/>
          <w:numId w:val="1002"/>
        </w:numPr>
        <w:jc w:val="left"/>
        <w:keepNext w:val="0"/>
        <w:keepLines w:val="0"/>
        <w:widowControl w:val="1"/>
      </w:pPr>
      <w:bookmarkStart w:id="89"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88">
        <w:r>
          <w:rPr>
            <w:rStyle w:val="Hyperlink"/>
          </w:rPr>
          <w:t xml:space="preserve">arxiv.org/abs/2601.21817</w:t>
        </w:r>
      </w:hyperlink>
      <w:bookmarkEnd w:id="89"/>
    </w:p>
    <w:p>
      <w:pPr>
        <w:pStyle w:val="ReferenceEntry"/>
        <w:numPr>
          <w:ilvl w:val="0"/>
          <w:numId w:val="1002"/>
        </w:numPr>
        <w:jc w:val="left"/>
        <w:keepNext w:val="0"/>
        <w:keepLines w:val="0"/>
        <w:widowControl w:val="1"/>
      </w:pPr>
      <w:bookmarkStart w:id="91"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90">
        <w:r>
          <w:rPr>
            <w:rStyle w:val="Hyperlink"/>
          </w:rPr>
          <w:t xml:space="preserve">arxiv.org/abs/2502.14678</w:t>
        </w:r>
      </w:hyperlink>
      <w:bookmarkEnd w:id="91"/>
    </w:p>
    <w:p>
      <w:pPr>
        <w:pStyle w:val="ReferenceEntry"/>
        <w:numPr>
          <w:ilvl w:val="0"/>
          <w:numId w:val="1002"/>
        </w:numPr>
        <w:jc w:val="left"/>
        <w:keepNext w:val="0"/>
        <w:keepLines w:val="0"/>
        <w:widowControl w:val="1"/>
      </w:pPr>
      <w:bookmarkStart w:id="93"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92">
        <w:r>
          <w:rPr>
            <w:rStyle w:val="Hyperlink"/>
          </w:rPr>
          <w:t xml:space="preserve">arxiv.org/abs/2501.12789</w:t>
        </w:r>
      </w:hyperlink>
      <w:bookmarkEnd w:id="93"/>
    </w:p>
    <w:p>
      <w:pPr>
        <w:pStyle w:val="ReferenceEntry"/>
        <w:numPr>
          <w:ilvl w:val="0"/>
          <w:numId w:val="1002"/>
        </w:numPr>
        <w:jc w:val="left"/>
        <w:keepNext w:val="0"/>
        <w:keepLines w:val="0"/>
        <w:widowControl w:val="1"/>
      </w:pPr>
      <w:bookmarkStart w:id="95"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94">
        <w:r>
          <w:rPr>
            <w:rStyle w:val="Hyperlink"/>
          </w:rPr>
          <w:t xml:space="preserve">arxiv.org/abs/2502.17521</w:t>
        </w:r>
      </w:hyperlink>
      <w:bookmarkEnd w:id="95"/>
    </w:p>
    <w:p>
      <w:pPr>
        <w:pStyle w:val="ReferenceEntry"/>
        <w:numPr>
          <w:ilvl w:val="0"/>
          <w:numId w:val="1002"/>
        </w:numPr>
        <w:jc w:val="left"/>
        <w:keepNext w:val="0"/>
        <w:keepLines w:val="0"/>
        <w:widowControl w:val="1"/>
      </w:pPr>
      <w:bookmarkStart w:id="97" w:name="r33"/>
      <w:r>
        <w:t xml:space="preserve">Dawid, A. P., Skene, A. M. (1979).</w:t>
      </w:r>
      <w:r>
        <w:t xml:space="preserve"> </w:t>
      </w:r>
      <w:r>
        <w:rPr>
          <w:i/>
          <w:iCs/>
        </w:rPr>
        <w:t xml:space="preserve">Maximum Likelihood Estimation of Observer Error-Rates Using</w:t>
      </w:r>
      <w:r>
        <w:rPr>
          <w:i/>
          <w:iCs/>
        </w:rPr>
        <w:t xml:space="preserve"> </w:t>
      </w:r>
      <w:r>
        <w:rPr>
          <w:i/>
          <w:iCs/>
        </w:rPr>
        <w:t xml:space="preserve">the EM Algorithm.</w:t>
      </w:r>
      <w:r>
        <w:t xml:space="preserve"> </w:t>
      </w:r>
      <w:r>
        <w:t xml:space="preserve">Journal of the Royal Statistical Society: Series C (Applied Statistics), 28(1), 20–28.</w:t>
      </w:r>
      <w:r>
        <w:t xml:space="preserve"> </w:t>
      </w:r>
      <w:hyperlink r:id="rId96">
        <w:r>
          <w:rPr>
            <w:rStyle w:val="Hyperlink"/>
          </w:rPr>
          <w:t xml:space="preserve">doi.org/10.2307/2346806</w:t>
        </w:r>
      </w:hyperlink>
      <w:bookmarkEnd w:id="97"/>
    </w:p>
    <w:bookmarkEnd w:id="98"/>
    <w:bookmarkStart w:id="99"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99"/>
    <w:bookmarkStart w:id="100" w:name="appB"/>
    <w:p>
      <w:pPr>
        <w:pStyle w:val="Heading2"/>
        <w:keepNext/>
        <w:keepLines/>
        <w:widowControl w:val="1"/>
      </w:pPr>
      <w:r>
        <w:t xml:space="preserve">Appendix B. Rubric structure</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Heatmap of pairwise semantic similarity between auto-generated rubric criteria</w:t>
            </w:r>
          </w:p>
        </w:tc>
      </w:tr>
    </w:tbl>
    <w:p>
      <w:pPr>
        <w:pStyle w:val="ImageCaption"/>
        <w:spacing w:before="80" w:after="120" w:line="240" w:lineRule="auto"/>
        <w:jc w:val="center"/>
        <w:keepNext w:val="0"/>
        <w:keepLines/>
        <w:widowControl w:val="1"/>
      </w:pPr>
      <w:r>
        <w:rPr>
          <w:b/>
          <w:bCs/>
        </w:rPr>
        <w:t xml:space="preserve">Figure 5.</w:t>
      </w:r>
      <w:r>
        <w:t xml:space="preserve"> </w:t>
      </w:r>
      <w:r>
        <w:t xml:space="preserve">Pairwise semantic similarity of the 22 auto-generated rubric criteria across</w:t>
      </w:r>
      <w:r>
        <w:t xml:space="preserve"> </w:t>
      </w:r>
      <w:r>
        <w:t xml:space="preserve">four tasks. Block structure along the diagonal reflects task specialization (within-task</w:t>
      </w:r>
      <w:r>
        <w:t xml:space="preserve"> </w:t>
      </w:r>
      <m:oMath>
        <m:r>
          <m:t>0.342</m:t>
        </m:r>
        <m:r>
          <m:rPr>
            <m:sty m:val="p"/>
          </m:rPr>
          <m:t>&gt;</m:t>
        </m:r>
      </m:oMath>
      <w:r>
        <w:t xml:space="preserve"> </w:t>
      </w:r>
      <w:r>
        <w:t xml:space="preserve">cross-task</w:t>
      </w:r>
      <w:r>
        <w:t xml:space="preserve"> </w:t>
      </w:r>
      <m:oMath>
        <m:r>
          <m:t>0.294</m:t>
        </m:r>
      </m:oMath>
      <w:r>
        <w:t xml:space="preserve">), while a recurring “completeness” dimension forms a cross-task cluster.</w:t>
      </w:r>
    </w:p>
    <w:bookmarkEnd w:id="100"/>
    <w:bookmarkStart w:id="101" w:name="appC"/>
    <w:p>
      <w:pPr>
        <w:pStyle w:val="Heading2"/>
        <w:keepNext/>
        <w:keepLines/>
        <w:widowControl w:val="1"/>
      </w:pPr>
      <w:r>
        <w:t xml:space="preserve">Appendix C. Evaluation throughput</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Evaluations per dollar: CoEval versus human annotation</w:t>
            </w:r>
          </w:p>
        </w:tc>
      </w:tr>
    </w:tbl>
    <w:p>
      <w:pPr>
        <w:pStyle w:val="ImageCaption"/>
        <w:spacing w:before="80" w:after="120" w:line="240" w:lineRule="auto"/>
        <w:jc w:val="center"/>
        <w:keepNext w:val="0"/>
        <w:keepLines/>
        <w:widowControl w:val="1"/>
      </w:pPr>
      <w:r>
        <w:rPr>
          <w:b/>
          <w:bCs/>
        </w:rPr>
        <w:t xml:space="preserve">Figure 6.</w:t>
      </w:r>
      <w:r>
        <w:t xml:space="preserve"> </w:t>
      </w:r>
      <w:r>
        <w:t xml:space="preserve">Throughput. CoEval produces roughly</w:t>
      </w:r>
      <w:r>
        <w:t xml:space="preserve"> </w:t>
      </w:r>
      <m:oMath>
        <m:r>
          <m:t>1</m:t>
        </m:r>
        <m:r>
          <m:rPr>
            <m:sty m:val="p"/>
          </m:rPr>
          <m:t>,</m:t>
        </m:r>
        <m:r>
          <m:t>350</m:t>
        </m:r>
      </m:oMath>
      <w:r>
        <w:t xml:space="preserve"> </w:t>
      </w:r>
      <w:r>
        <w:t xml:space="preserve">evaluations per dollar</w:t>
      </w:r>
      <w:r>
        <w:t xml:space="preserve"> </w:t>
      </w:r>
      <w:r>
        <w:t xml:space="preserve">(7,978 evaluations for USD 5.89), two to three orders of magnitude above typical human annotation, enabling</w:t>
      </w:r>
      <w:r>
        <w:t xml:space="preserve"> </w:t>
      </w:r>
      <w:r>
        <w:t xml:space="preserve">re-evaluation on every model release.</w:t>
      </w:r>
    </w:p>
    <w:bookmarkEnd w:id="101"/>
    <w:bookmarkStart w:id="102" w:name="appD"/>
    <w:p>
      <w:pPr>
        <w:pStyle w:val="Heading2"/>
        <w:keepNext/>
        <w:keepLines/>
        <w:widowControl w:val="1"/>
      </w:pPr>
      <w:r>
        <w:t xml:space="preserve">Appendix D. Worked examples on data-scarce domains</w:t>
      </w:r>
    </w:p>
    <w:p>
      <w:pPr>
        <w:pStyle w:val="FirstParagraph"/>
        <w:jc w:val="both"/>
        <w:keepNext w:val="0"/>
        <w:keepLines w:val="0"/>
        <w:widowControl w:val="1"/>
      </w:pPr>
      <w:r>
        <w:t xml:space="preserve">The three verticals of Section 5.7 are domains where a practitioner typically has</w:t>
      </w:r>
      <w:r>
        <w:t xml:space="preserve"> </w:t>
      </w:r>
      <w:r>
        <w:rPr>
          <w:i/>
          <w:iCs/>
        </w:rPr>
        <w:t xml:space="preserve">no</w:t>
      </w:r>
      <w:r>
        <w:t xml:space="preserve"> </w:t>
      </w:r>
      <w:r>
        <w:t xml:space="preserve">labeled</w:t>
      </w:r>
      <w:r>
        <w:t xml:space="preserve"> </w:t>
      </w:r>
      <w:r>
        <w:t xml:space="preserve">benchmark and no trustworthy public one: drug–drug interaction (DDI) reasoning, clinical decision support, and</w:t>
      </w:r>
      <w:r>
        <w:t xml:space="preserve"> </w:t>
      </w:r>
      <w:r>
        <w:t xml:space="preserve">legal analysis. The artifacts below are the</w:t>
      </w:r>
      <w:r>
        <w:t xml:space="preserve"> </w:t>
      </w:r>
      <w:r>
        <w:rPr>
          <w:i/>
          <w:iCs/>
        </w:rPr>
        <w:t xml:space="preserve">actual</w:t>
      </w:r>
      <w:r>
        <w:t xml:space="preserve"> </w:t>
      </w:r>
      <w:r>
        <w:t xml:space="preserve">output CoEval generated for each, from a single one-line</w:t>
      </w:r>
      <w:r>
        <w:t xml:space="preserve"> </w:t>
      </w:r>
      <w:r>
        <w:t xml:space="preserve">task description and with no human labels. From that description the teacher inferred the attribute strata, synthesized</w:t>
      </w:r>
      <w:r>
        <w:t xml:space="preserve"> </w:t>
      </w:r>
      <m:oMath>
        <m:r>
          <m:t>40</m:t>
        </m:r>
      </m:oMath>
      <w:r>
        <w:t xml:space="preserve"> </w:t>
      </w:r>
      <w:r>
        <w:t xml:space="preserve">contamination-free items stratified over them, and wrote a scoring rubric; the vendor-disjoint panel</w:t>
      </w:r>
      <w:r>
        <w:t xml:space="preserve"> </w:t>
      </w:r>
      <w:r>
        <w:t xml:space="preserve">(OpenAI + Anthropic + Google) then ranked three candidate models (Table 5).</w:t>
      </w:r>
    </w:p>
    <w:p>
      <w:pPr>
        <w:pStyle w:val="BodyText"/>
        <w:jc w:val="both"/>
        <w:keepNext w:val="0"/>
        <w:keepLines w:val="0"/>
        <w:widowControl w:val="1"/>
      </w:pPr>
      <w:r>
        <w:rPr>
          <w:b/>
          <w:bCs/>
        </w:rPr>
        <w:t xml:space="preserve">Table D1.</w:t>
      </w:r>
      <w:r>
        <w:t xml:space="preserve"> </w:t>
      </w:r>
      <w:r>
        <w:t xml:space="preserve">From a one-line description to a scored benchmark, for three domains with no</w:t>
      </w:r>
      <w:r>
        <w:t xml:space="preserve"> </w:t>
      </w:r>
      <w:r>
        <w:t xml:space="preserve">public labeled data. The attribute strata and rubric criteria are auto-generated by the teacher; each domain yields</w:t>
      </w:r>
      <w:r>
        <w:t xml:space="preserve"> </w:t>
      </w:r>
      <m:oMath>
        <m:r>
          <m:t>40</m:t>
        </m:r>
      </m:oMath>
      <w:r>
        <w:t xml:space="preserve"> </w:t>
      </w:r>
      <w:r>
        <w:t xml:space="preserve">stratified, contamination-free items, scored by the cross-family panel.</w:t>
      </w:r>
    </w:p>
    <w:tbl>
      <w:tblPr>
        <w:tblStyle w:val="Table"/>
        <w:tblW w:type="pct" w:w="5000"/>
        <w:jc w:val="center"/>
        <w:tblLayout w:type="autofit"/>
        <w:tblLook w:firstRow="1" w:lastRow="0" w:firstColumn="0" w:lastColumn="0" w:noHBand="0" w:noVBand="0" w:val="0020"/>
        <w:tblCaption w:val="Table D1. From a one-line description to a scored benchmark, for three domains with no public labeled data. The attribute strata and rubric criteria are auto-generated by the teacher; each domain yields 40 stratified, contamination-free items, scored by the cross-family panel."/>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Domain and one-line seed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Auto-generated attribute strata</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Auto-generated rubric</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Drug–drug interaction reasoning</w:t>
            </w:r>
            <w:r>
              <w:rPr>
                <w:rFonts w:ascii="Times New Roman" w:hAnsi="Times New Roman"/>
                <w:sz w:val="20"/>
              </w:rPr>
              <w:br/>
            </w:r>
            <w:r>
              <w:rPr>
                <w:rFonts w:ascii="Times New Roman" w:hAnsi="Times New Roman"/>
                <w:i/>
                <w:iCs/>
                <w:sz w:val="20"/>
              </w:rPr>
              <w:t xml:space="preserve">"given two or more co-administered drugs and a patient context, assess the interaction, its mechanism, severity, and clinical action"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severity {contraindicated, major, moderate, minor}; mechanism {pharmacokinetic, pharmacodynamic};</w:t>
            </w:r>
            <w:r>
              <w:rPr>
                <w:rFonts w:ascii="Times New Roman" w:hAnsi="Times New Roman"/>
                <w:sz w:val="20"/>
              </w:rPr>
              <w:t xml:space="preserve"> </w:t>
            </w:r>
            <w:r>
              <w:rPr>
                <w:rFonts w:ascii="Times New Roman" w:hAnsi="Times New Roman"/>
                <w:sz w:val="20"/>
              </w:rPr>
              <w:t xml:space="preserve">patient_context {renal, hepatic, polypharmacy-elderly, pregnancy}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interaction_accuracy, severity_correct, safety, completeness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Clinical reasoning</w:t>
            </w:r>
            <w:r>
              <w:rPr>
                <w:rFonts w:ascii="Times New Roman" w:hAnsi="Times New Roman"/>
                <w:sz w:val="20"/>
              </w:rPr>
              <w:br/>
            </w:r>
            <w:r>
              <w:rPr>
                <w:rFonts w:ascii="Times New Roman" w:hAnsi="Times New Roman"/>
                <w:i/>
                <w:iCs/>
                <w:sz w:val="20"/>
              </w:rPr>
              <w:t xml:space="preserve">"a clinical reasoning question a clinician would face, requiring medical knowledge and safe, accurate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specialty {cardiology, infectious_disease, pediatrics, oncology, emergency}; difficulty {routine, intermediate, hard}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clinical_accuracy, safety, completeness, clarity</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Legal analysis</w:t>
            </w:r>
            <w:r>
              <w:rPr>
                <w:rFonts w:ascii="Times New Roman" w:hAnsi="Times New Roman"/>
                <w:sz w:val="20"/>
              </w:rPr>
              <w:br/>
            </w:r>
            <w:r>
              <w:rPr>
                <w:rFonts w:ascii="Times New Roman" w:hAnsi="Times New Roman"/>
                <w:i/>
                <w:iCs/>
                <w:sz w:val="20"/>
              </w:rPr>
              <w:t xml:space="preserve">"a legal analysis question requiring identification of the relevant rule and correct application to the facts"</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area_of_law {contracts, torts, criminal, constitutional, intellectual_property}; complexity {basic, intermediate, advanced}</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legal_accuracy, reasoning_quality, completeness, clarity</w:t>
            </w:r>
          </w:p>
        </w:tc>
      </w:tr>
    </w:tbl>
    <w:p>
      <w:pPr>
        <w:pStyle w:val="BodyText"/>
        <w:spacing w:before="160"/>
        <w:jc w:val="both"/>
        <w:keepNext w:val="0"/>
        <w:keepLines w:val="0"/>
        <w:widowControl w:val="1"/>
      </w:pPr>
      <w:r>
        <w:t xml:space="preserve">One representative</w:t>
      </w:r>
      <w:r>
        <w:t xml:space="preserve"> </w:t>
      </w:r>
      <w:r>
        <w:rPr>
          <w:i/>
          <w:iCs/>
        </w:rPr>
        <w:t xml:space="preserve">generated</w:t>
      </w:r>
      <w:r>
        <w:t xml:space="preserve"> </w:t>
      </w:r>
      <w:r>
        <w:t xml:space="preserve">item per domain (verbatim teacher output, labeled with its sampled attribute</w:t>
      </w:r>
      <w:r>
        <w:t xml:space="preserve"> </w:t>
      </w:r>
      <w:r>
        <w:t xml:space="preserve">cell), showing the synthesized items are specific and realistic rather than templated:</w:t>
      </w:r>
    </w:p>
    <w:p>
      <w:pPr>
        <w:pStyle w:val="Compact"/>
        <w:numPr>
          <w:ilvl w:val="0"/>
          <w:numId w:val="1003"/>
        </w:numPr>
        <w:jc w:val="both"/>
        <w:keepNext w:val="0"/>
        <w:keepLines w:val="0"/>
        <w:widowControl w:val="1"/>
      </w:pPr>
      <w:r>
        <w:rPr>
          <w:b/>
          <w:bCs/>
        </w:rPr>
        <w:t xml:space="preserve">DDI</w:t>
      </w:r>
      <w:r>
        <w:t xml:space="preserve"> </w:t>
      </w:r>
      <w:r>
        <w:t xml:space="preserve">(severity = moderate, mechanism = pharmacokinetic, patient_context = pregnancy):</w:t>
      </w:r>
      <w:r>
        <w:t xml:space="preserve"> </w:t>
      </w:r>
      <w:r>
        <w:rPr>
          <w:i/>
          <w:iCs/>
        </w:rPr>
        <w:t xml:space="preserve">"A 30-year-old pregnant woman is prescribed lamotrigine for bipolar disorder and is also taking oral</w:t>
      </w:r>
      <w:r>
        <w:rPr>
          <w:i/>
          <w:iCs/>
        </w:rPr>
        <w:t xml:space="preserve"> </w:t>
      </w:r>
      <w:r>
        <w:rPr>
          <w:i/>
          <w:iCs/>
        </w:rPr>
        <w:t xml:space="preserve">contraceptives. Assess the drug–drug interaction between these medications, identify the mechanism, and provide</w:t>
      </w:r>
      <w:r>
        <w:rPr>
          <w:i/>
          <w:iCs/>
        </w:rPr>
        <w:t xml:space="preserve"> </w:t>
      </w:r>
      <w:r>
        <w:rPr>
          <w:i/>
          <w:iCs/>
        </w:rPr>
        <w:t xml:space="preserve">the severity and clinical recommendation."</w:t>
      </w:r>
    </w:p>
    <w:p>
      <w:pPr>
        <w:pStyle w:val="Compact"/>
        <w:numPr>
          <w:ilvl w:val="0"/>
          <w:numId w:val="1003"/>
        </w:numPr>
        <w:jc w:val="both"/>
        <w:keepNext w:val="0"/>
        <w:keepLines w:val="0"/>
        <w:widowControl w:val="1"/>
      </w:pPr>
      <w:r>
        <w:rPr>
          <w:b/>
          <w:bCs/>
        </w:rPr>
        <w:t xml:space="preserve">Clinical</w:t>
      </w:r>
      <w:r>
        <w:t xml:space="preserve"> </w:t>
      </w:r>
      <w:r>
        <w:t xml:space="preserve">(specialty = cardiology, difficulty = routine):</w:t>
      </w:r>
      <w:r>
        <w:t xml:space="preserve"> </w:t>
      </w:r>
      <w:r>
        <w:rPr>
          <w:i/>
          <w:iCs/>
        </w:rPr>
        <w:t xml:space="preserve">"A 62-year-old male with a history of hypertension and hyperlipidemia presents with progressive shortness of</w:t>
      </w:r>
      <w:r>
        <w:rPr>
          <w:i/>
          <w:iCs/>
        </w:rPr>
        <w:t xml:space="preserve"> </w:t>
      </w:r>
      <w:r>
        <w:rPr>
          <w:i/>
          <w:iCs/>
        </w:rPr>
        <w:t xml:space="preserve">breath and occasional palpitations. On examination, you note elevated jugular venous pressure and a third heart</w:t>
      </w:r>
      <w:r>
        <w:rPr>
          <w:i/>
          <w:iCs/>
        </w:rPr>
        <w:t xml:space="preserve"> </w:t>
      </w:r>
      <w:r>
        <w:rPr>
          <w:i/>
          <w:iCs/>
        </w:rPr>
        <w:t xml:space="preserve">sound. An ECG shows left ventricular hypertrophy. What is the most likely diagnosis and what initial management</w:t>
      </w:r>
      <w:r>
        <w:rPr>
          <w:i/>
          <w:iCs/>
        </w:rPr>
        <w:t xml:space="preserve"> </w:t>
      </w:r>
      <w:r>
        <w:rPr>
          <w:i/>
          <w:iCs/>
        </w:rPr>
        <w:t xml:space="preserve">strategy should be considered?"</w:t>
      </w:r>
    </w:p>
    <w:p>
      <w:pPr>
        <w:pStyle w:val="Compact"/>
        <w:numPr>
          <w:ilvl w:val="0"/>
          <w:numId w:val="1003"/>
        </w:numPr>
        <w:jc w:val="both"/>
        <w:keepNext w:val="0"/>
        <w:keepLines w:val="0"/>
        <w:widowControl w:val="1"/>
      </w:pPr>
      <w:r>
        <w:rPr>
          <w:b/>
          <w:bCs/>
        </w:rPr>
        <w:t xml:space="preserve">Legal</w:t>
      </w:r>
      <w:r>
        <w:t xml:space="preserve"> </w:t>
      </w:r>
      <w:r>
        <w:t xml:space="preserve">(area_of_law = torts, complexity = basic):</w:t>
      </w:r>
      <w:r>
        <w:t xml:space="preserve"> </w:t>
      </w:r>
      <w:r>
        <w:rPr>
          <w:i/>
          <w:iCs/>
        </w:rPr>
        <w:t xml:space="preserve">"Alice, while jogging in the park, trips over a tree root that has been exposed due to erosion and falls,</w:t>
      </w:r>
      <w:r>
        <w:rPr>
          <w:i/>
          <w:iCs/>
        </w:rPr>
        <w:t xml:space="preserve"> </w:t>
      </w:r>
      <w:r>
        <w:rPr>
          <w:i/>
          <w:iCs/>
        </w:rPr>
        <w:t xml:space="preserve">breaking her wrist. The park is owned by the city, and Alice claims the city is liable for her injuries due to</w:t>
      </w:r>
      <w:r>
        <w:rPr>
          <w:i/>
          <w:iCs/>
        </w:rPr>
        <w:t xml:space="preserve"> </w:t>
      </w:r>
      <w:r>
        <w:rPr>
          <w:i/>
          <w:iCs/>
        </w:rPr>
        <w:t xml:space="preserve">negligence. Identify the relevant rule and determine if Alice can successfully hold the city liable."</w:t>
      </w:r>
    </w:p>
    <w:p>
      <w:pPr>
        <w:pStyle w:val="FirstParagraph"/>
        <w:jc w:val="both"/>
        <w:keepNext w:val="0"/>
        <w:keepLines w:val="0"/>
        <w:widowControl w:val="1"/>
      </w:pPr>
      <w:r>
        <w:t xml:space="preserve">Each item is scored on its rubric by the panel, producing the rankings in Table 5. On DDI the three judges are</w:t>
      </w:r>
      <w:r>
        <w:t xml:space="preserve"> </w:t>
      </w:r>
      <w:r>
        <w:t xml:space="preserve">unanimous,</w:t>
      </w:r>
      <w:r>
        <w:t xml:space="preserve"> </w:t>
      </w:r>
      <w:r>
        <w:rPr>
          <w:rStyle w:val="VerbatimChar"/>
        </w:rPr>
        <w:t xml:space="preserve">gpt-4o-mini</w:t>
      </w:r>
      <w:r>
        <w:t xml:space="preserve"> </w:t>
      </w:r>
      <w:r>
        <w:t xml:space="preserve">(</w:t>
      </w:r>
      <m:oMath>
        <m:r>
          <m:t>0.770</m:t>
        </m:r>
      </m:oMath>
      <w:r>
        <w:t xml:space="preserve">) &gt;</w:t>
      </w:r>
      <w:r>
        <w:t xml:space="preserve"> </w:t>
      </w:r>
      <w:r>
        <w:rPr>
          <w:rStyle w:val="VerbatimChar"/>
        </w:rPr>
        <w:t xml:space="preserve">gpt-3.5-turbo</w:t>
      </w:r>
      <w:r>
        <w:t xml:space="preserve"> </w:t>
      </w:r>
      <w:r>
        <w:t xml:space="preserve">(</w:t>
      </w:r>
      <m:oMath>
        <m:r>
          <m:t>0.682</m:t>
        </m:r>
      </m:oMath>
      <w:r>
        <w:t xml:space="preserve">) &gt;</w:t>
      </w:r>
      <w:r>
        <w:t xml:space="preserve"> </w:t>
      </w:r>
      <w:r>
        <w:rPr>
          <w:rStyle w:val="VerbatimChar"/>
        </w:rPr>
        <w:t xml:space="preserve">llama-3.2-3b</w:t>
      </w:r>
      <w:r>
        <w:t xml:space="preserve"> </w:t>
      </w:r>
      <w:r>
        <w:t xml:space="preserve">(</w:t>
      </w:r>
      <m:oMath>
        <m:r>
          <m:t>0.497</m:t>
        </m:r>
      </m:oMath>
      <w:r>
        <w:t xml:space="preserve">), with non-overlapping confidence intervals; on clinical reasoning the two stronger</w:t>
      </w:r>
      <w:r>
        <w:t xml:space="preserve"> </w:t>
      </w:r>
      <w:r>
        <w:t xml:space="preserve">models are statistically close (</w:t>
      </w:r>
      <m:oMath>
        <m:r>
          <m:t>0.873</m:t>
        </m:r>
      </m:oMath>
      <w:r>
        <w:t xml:space="preserve"> </w:t>
      </w:r>
      <w:r>
        <w:t xml:space="preserve">vs</w:t>
      </w:r>
      <w:r>
        <w:t xml:space="preserve"> </w:t>
      </w:r>
      <m:oMath>
        <m:r>
          <m:t>0.864</m:t>
        </m:r>
      </m:oMath>
      <w:r>
        <w:t xml:space="preserve">), which the overlapping intervals correctly expose. The entire path</w:t>
      </w:r>
      <w:r>
        <w:t xml:space="preserve"> </w:t>
      </w:r>
      <w:r>
        <w:t xml:space="preserve">from a one-line description to a defensible, contamination-free ranking is a single configuration file with no labeled</w:t>
      </w:r>
      <w:r>
        <w:t xml:space="preserve"> </w:t>
      </w:r>
      <w:r>
        <w:t xml:space="preserve">data and no human raters.</w:t>
      </w:r>
    </w:p>
    <w:bookmarkEnd w:id="102"/>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ind w:firstLine="0"/>
      <w:jc w:val="center"/>
    </w:pPr>
    <w:rPr>
      <w:rFonts w:ascii="Times New Roman" w:hAnsi="Times New Roman"/>
      <w:b/>
      <w:i w:val="0"/>
      <w:sz w:val="22"/>
    </w:rPr>
  </w:style>
  <w:style w:customStyle="1" w:styleId="Keywords" w:type="paragraph">
    <w:name w:val="Keywords"/>
    <w:basedOn w:val="BodyText"/>
    <w:pPr>
      <w:keepNext w:val="0"/>
      <w:spacing w:after="80" w:before="0"/>
      <w:ind w:firstLin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8" Type="http://schemas.openxmlformats.org/officeDocument/2006/relationships/hyperlink" Target="https://arxiv.org/abs/2104.14337" TargetMode="External"/><Relationship Id="rId34" Type="http://schemas.openxmlformats.org/officeDocument/2006/relationships/hyperlink" Target="https://arxiv.org/abs/2303.16634" TargetMode="External"/><Relationship Id="rId32" Type="http://schemas.openxmlformats.org/officeDocument/2006/relationships/hyperlink" Target="https://arxiv.org/abs/2306.05685" TargetMode="External"/><Relationship Id="rId72" Type="http://schemas.openxmlformats.org/officeDocument/2006/relationships/hyperlink" Target="https://arxiv.org/abs/2308.07201" TargetMode="External"/><Relationship Id="rId76" Type="http://schemas.openxmlformats.org/officeDocument/2006/relationships/hyperlink" Target="https://arxiv.org/abs/2403.07974" TargetMode="External"/><Relationship Id="rId46" Type="http://schemas.openxmlformats.org/officeDocument/2006/relationships/hyperlink" Target="https://arxiv.org/abs/2404.04475" TargetMode="External"/><Relationship Id="rId40" Type="http://schemas.openxmlformats.org/officeDocument/2006/relationships/hyperlink" Target="https://arxiv.org/abs/2404.18796" TargetMode="External"/><Relationship Id="rId54" Type="http://schemas.openxmlformats.org/officeDocument/2006/relationships/hyperlink" Target="https://arxiv.org/abs/2405.00332" TargetMode="External"/><Relationship Id="rId36" Type="http://schemas.openxmlformats.org/officeDocument/2006/relationships/hyperlink" Target="https://arxiv.org/abs/2405.01535" TargetMode="External"/><Relationship Id="rId44" Type="http://schemas.openxmlformats.org/officeDocument/2006/relationships/hyperlink" Target="https://arxiv.org/abs/2406.05761" TargetMode="External"/><Relationship Id="rId74" Type="http://schemas.openxmlformats.org/officeDocument/2006/relationships/hyperlink" Target="https://arxiv.org/abs/2406.19314" TargetMode="External"/><Relationship Id="rId48" Type="http://schemas.openxmlformats.org/officeDocument/2006/relationships/hyperlink" Target="https://arxiv.org/abs/2407.08351" TargetMode="External"/><Relationship Id="rId38" Type="http://schemas.openxmlformats.org/officeDocument/2006/relationships/hyperlink" Target="https://arxiv.org/abs/2407.10817" TargetMode="External"/><Relationship Id="rId80" Type="http://schemas.openxmlformats.org/officeDocument/2006/relationships/hyperlink" Target="https://arxiv.org/abs/2408.08808" TargetMode="External"/><Relationship Id="rId64" Type="http://schemas.openxmlformats.org/officeDocument/2006/relationships/hyperlink" Target="https://arxiv.org/abs/2410.02736" TargetMode="External"/><Relationship Id="rId42" Type="http://schemas.openxmlformats.org/officeDocument/2006/relationships/hyperlink" Target="https://arxiv.org/abs/2410.12784" TargetMode="External"/><Relationship Id="rId66" Type="http://schemas.openxmlformats.org/officeDocument/2006/relationships/hyperlink" Target="https://arxiv.org/abs/2410.21819" TargetMode="External"/><Relationship Id="rId50" Type="http://schemas.openxmlformats.org/officeDocument/2006/relationships/hyperlink" Target="https://arxiv.org/abs/2410.22584" TargetMode="External"/><Relationship Id="rId68" Type="http://schemas.openxmlformats.org/officeDocument/2006/relationships/hyperlink" Target="https://arxiv.org/abs/2411.15594" TargetMode="External"/><Relationship Id="rId70" Type="http://schemas.openxmlformats.org/officeDocument/2006/relationships/hyperlink" Target="https://arxiv.org/abs/2411.16594" TargetMode="External"/><Relationship Id="rId92" Type="http://schemas.openxmlformats.org/officeDocument/2006/relationships/hyperlink" Target="https://arxiv.org/abs/2501.12789" TargetMode="External"/><Relationship Id="rId60" Type="http://schemas.openxmlformats.org/officeDocument/2006/relationships/hyperlink" Target="https://arxiv.org/abs/2502.01534" TargetMode="External"/><Relationship Id="rId56" Type="http://schemas.openxmlformats.org/officeDocument/2006/relationships/hyperlink" Target="https://arxiv.org/abs/2502.14425" TargetMode="External"/><Relationship Id="rId90" Type="http://schemas.openxmlformats.org/officeDocument/2006/relationships/hyperlink" Target="https://arxiv.org/abs/2502.14678" TargetMode="External"/><Relationship Id="rId94" Type="http://schemas.openxmlformats.org/officeDocument/2006/relationships/hyperlink" Target="https://arxiv.org/abs/2502.17521" TargetMode="External"/><Relationship Id="rId52" Type="http://schemas.openxmlformats.org/officeDocument/2006/relationships/hyperlink" Target="https://arxiv.org/abs/2504.01833" TargetMode="External"/><Relationship Id="rId78" Type="http://schemas.openxmlformats.org/officeDocument/2006/relationships/hyperlink" Target="https://arxiv.org/abs/2504.03846" TargetMode="External"/><Relationship Id="rId82" Type="http://schemas.openxmlformats.org/officeDocument/2006/relationships/hyperlink" Target="https://arxiv.org/abs/2504.17087" TargetMode="External"/><Relationship Id="rId62" Type="http://schemas.openxmlformats.org/officeDocument/2006/relationships/hyperlink" Target="https://arxiv.org/abs/2508.06709" TargetMode="External"/><Relationship Id="rId88" Type="http://schemas.openxmlformats.org/officeDocument/2006/relationships/hyperlink" Target="https://arxiv.org/abs/2601.21817" TargetMode="External"/><Relationship Id="rId84" Type="http://schemas.openxmlformats.org/officeDocument/2006/relationships/hyperlink" Target="https://arxiv.org/abs/2602.16610" TargetMode="External"/><Relationship Id="rId86" Type="http://schemas.openxmlformats.org/officeDocument/2006/relationships/hyperlink" Target="https://arxiv.org/abs/2603.00039" TargetMode="External"/><Relationship Id="rId96" Type="http://schemas.openxmlformats.org/officeDocument/2006/relationships/hyperlink" Target="https://doi.org/10.2307/2346806"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58" Type="http://schemas.openxmlformats.org/officeDocument/2006/relationships/hyperlink" Target="https://arxiv.org/abs/2104.14337" TargetMode="External"/><Relationship Id="rId34" Type="http://schemas.openxmlformats.org/officeDocument/2006/relationships/hyperlink" Target="https://arxiv.org/abs/2303.16634" TargetMode="External"/><Relationship Id="rId32" Type="http://schemas.openxmlformats.org/officeDocument/2006/relationships/hyperlink" Target="https://arxiv.org/abs/2306.05685" TargetMode="External"/><Relationship Id="rId72" Type="http://schemas.openxmlformats.org/officeDocument/2006/relationships/hyperlink" Target="https://arxiv.org/abs/2308.07201" TargetMode="External"/><Relationship Id="rId76" Type="http://schemas.openxmlformats.org/officeDocument/2006/relationships/hyperlink" Target="https://arxiv.org/abs/2403.07974" TargetMode="External"/><Relationship Id="rId46" Type="http://schemas.openxmlformats.org/officeDocument/2006/relationships/hyperlink" Target="https://arxiv.org/abs/2404.04475" TargetMode="External"/><Relationship Id="rId40" Type="http://schemas.openxmlformats.org/officeDocument/2006/relationships/hyperlink" Target="https://arxiv.org/abs/2404.18796" TargetMode="External"/><Relationship Id="rId54" Type="http://schemas.openxmlformats.org/officeDocument/2006/relationships/hyperlink" Target="https://arxiv.org/abs/2405.00332" TargetMode="External"/><Relationship Id="rId36" Type="http://schemas.openxmlformats.org/officeDocument/2006/relationships/hyperlink" Target="https://arxiv.org/abs/2405.01535" TargetMode="External"/><Relationship Id="rId44" Type="http://schemas.openxmlformats.org/officeDocument/2006/relationships/hyperlink" Target="https://arxiv.org/abs/2406.05761" TargetMode="External"/><Relationship Id="rId74" Type="http://schemas.openxmlformats.org/officeDocument/2006/relationships/hyperlink" Target="https://arxiv.org/abs/2406.19314" TargetMode="External"/><Relationship Id="rId48" Type="http://schemas.openxmlformats.org/officeDocument/2006/relationships/hyperlink" Target="https://arxiv.org/abs/2407.08351" TargetMode="External"/><Relationship Id="rId38" Type="http://schemas.openxmlformats.org/officeDocument/2006/relationships/hyperlink" Target="https://arxiv.org/abs/2407.10817" TargetMode="External"/><Relationship Id="rId80" Type="http://schemas.openxmlformats.org/officeDocument/2006/relationships/hyperlink" Target="https://arxiv.org/abs/2408.08808" TargetMode="External"/><Relationship Id="rId64" Type="http://schemas.openxmlformats.org/officeDocument/2006/relationships/hyperlink" Target="https://arxiv.org/abs/2410.02736" TargetMode="External"/><Relationship Id="rId42" Type="http://schemas.openxmlformats.org/officeDocument/2006/relationships/hyperlink" Target="https://arxiv.org/abs/2410.12784" TargetMode="External"/><Relationship Id="rId66" Type="http://schemas.openxmlformats.org/officeDocument/2006/relationships/hyperlink" Target="https://arxiv.org/abs/2410.21819" TargetMode="External"/><Relationship Id="rId50" Type="http://schemas.openxmlformats.org/officeDocument/2006/relationships/hyperlink" Target="https://arxiv.org/abs/2410.22584" TargetMode="External"/><Relationship Id="rId68" Type="http://schemas.openxmlformats.org/officeDocument/2006/relationships/hyperlink" Target="https://arxiv.org/abs/2411.15594" TargetMode="External"/><Relationship Id="rId70" Type="http://schemas.openxmlformats.org/officeDocument/2006/relationships/hyperlink" Target="https://arxiv.org/abs/2411.16594" TargetMode="External"/><Relationship Id="rId92" Type="http://schemas.openxmlformats.org/officeDocument/2006/relationships/hyperlink" Target="https://arxiv.org/abs/2501.12789" TargetMode="External"/><Relationship Id="rId60" Type="http://schemas.openxmlformats.org/officeDocument/2006/relationships/hyperlink" Target="https://arxiv.org/abs/2502.01534" TargetMode="External"/><Relationship Id="rId56" Type="http://schemas.openxmlformats.org/officeDocument/2006/relationships/hyperlink" Target="https://arxiv.org/abs/2502.14425" TargetMode="External"/><Relationship Id="rId90" Type="http://schemas.openxmlformats.org/officeDocument/2006/relationships/hyperlink" Target="https://arxiv.org/abs/2502.14678" TargetMode="External"/><Relationship Id="rId94" Type="http://schemas.openxmlformats.org/officeDocument/2006/relationships/hyperlink" Target="https://arxiv.org/abs/2502.17521" TargetMode="External"/><Relationship Id="rId52" Type="http://schemas.openxmlformats.org/officeDocument/2006/relationships/hyperlink" Target="https://arxiv.org/abs/2504.01833" TargetMode="External"/><Relationship Id="rId78" Type="http://schemas.openxmlformats.org/officeDocument/2006/relationships/hyperlink" Target="https://arxiv.org/abs/2504.03846" TargetMode="External"/><Relationship Id="rId82" Type="http://schemas.openxmlformats.org/officeDocument/2006/relationships/hyperlink" Target="https://arxiv.org/abs/2504.17087" TargetMode="External"/><Relationship Id="rId62" Type="http://schemas.openxmlformats.org/officeDocument/2006/relationships/hyperlink" Target="https://arxiv.org/abs/2508.06709" TargetMode="External"/><Relationship Id="rId88" Type="http://schemas.openxmlformats.org/officeDocument/2006/relationships/hyperlink" Target="https://arxiv.org/abs/2601.21817" TargetMode="External"/><Relationship Id="rId84" Type="http://schemas.openxmlformats.org/officeDocument/2006/relationships/hyperlink" Target="https://arxiv.org/abs/2602.16610" TargetMode="External"/><Relationship Id="rId86" Type="http://schemas.openxmlformats.org/officeDocument/2006/relationships/hyperlink" Target="https://arxiv.org/abs/2603.00039" TargetMode="External"/><Relationship Id="rId96" Type="http://schemas.openxmlformats.org/officeDocument/2006/relationships/hyperlink" Target="https://doi.org/10.2307/23468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2026-06-02T20:21:43Z</dcterms:created>
  <dcterms:modified xsi:type="dcterms:W3CDTF">2026-06-02T20:21:43Z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