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p>
      <w:pPr>
        <w:pStyle w:val="Subtitle"/>
        <w:spacing w:before="0" w:after="160"/>
        <w:jc w:val="center"/>
        <w:keepNext w:val="0"/>
        <w:keepLines/>
        <w:widowControl w:val="1"/>
      </w:pPr>
      <w:r>
        <w:rPr>
          <w:rFonts w:ascii="Georgia" w:hAnsi="Georgia"/>
          <w:b w:val="0"/>
          <w:i/>
          <w:sz w:val="20"/>
        </w:rPr>
        <w:t xml:space="preserve">Alexander Apartsin</w:t>
      </w:r>
      <w:r>
        <w:rPr>
          <w:rFonts w:ascii="Georgia" w:hAnsi="Georgia"/>
          <w:b w:val="0"/>
          <w:i/>
          <w:sz w:val="20"/>
          <w:vertAlign w:val="superscript"/>
        </w:rPr>
        <w:t xml:space="preserve">1</w:t>
      </w:r>
      <w:r>
        <w:rPr>
          <w:rFonts w:ascii="Georgia" w:hAnsi="Georgia"/>
          <w:b w:val="0"/>
          <w:i/>
          <w:sz w:val="20"/>
        </w:rPr>
        <w:t xml:space="preserve">,</w:t>
      </w:r>
      <w:r>
        <w:rPr>
          <w:rFonts w:ascii="Georgia" w:hAnsi="Georgia"/>
          <w:b w:val="0"/>
          <w:i/>
          <w:sz w:val="20"/>
        </w:rPr>
        <w:t xml:space="preserve"> </w:t>
      </w:r>
      <w:r>
        <w:rPr>
          <w:rFonts w:ascii="Georgia" w:hAnsi="Georgia"/>
          <w:b w:val="0"/>
          <w:i/>
          <w:sz w:val="20"/>
        </w:rPr>
        <w:t xml:space="preserve">Yehudit Aperstein</w:t>
      </w:r>
      <w:r>
        <w:rPr>
          <w:rFonts w:ascii="Georgia" w:hAnsi="Georgia"/>
          <w:b w:val="0"/>
          <w:i/>
          <w:sz w:val="20"/>
          <w:vertAlign w:val="superscript"/>
        </w:rPr>
        <w:t xml:space="preserve">2</w:t>
      </w:r>
    </w:p>
    <w:p>
      <w:pPr>
        <w:pStyle w:val="Subtitle"/>
        <w:spacing w:before="0" w:after="160"/>
        <w:jc w:val="center"/>
        <w:keepNext w:val="0"/>
        <w:keepLines/>
        <w:widowControl w:val="1"/>
      </w:pPr>
      <w:r>
        <w:rPr>
          <w:rFonts w:ascii="Georgia" w:hAnsi="Georgia"/>
          <w:b w:val="0"/>
          <w:i/>
          <w:sz w:val="20"/>
          <w:vertAlign w:val="superscript"/>
        </w:rPr>
        <w:t xml:space="preserve">1</w:t>
      </w:r>
      <w:r>
        <w:rPr>
          <w:rFonts w:ascii="Georgia" w:hAnsi="Georgia"/>
          <w:b w:val="0"/>
          <w:i/>
          <w:sz w:val="20"/>
        </w:rPr>
        <w:t xml:space="preserve">Holon Institute of Technology, Israel  ·  </w:t>
      </w:r>
      <w:r>
        <w:rPr>
          <w:rFonts w:ascii="Georgia" w:hAnsi="Georgia"/>
          <w:b w:val="0"/>
          <w:i/>
          <w:sz w:val="20"/>
          <w:vertAlign w:val="superscript"/>
        </w:rPr>
        <w:t xml:space="preserve">2</w:t>
      </w:r>
      <w:r>
        <w:rPr>
          <w:rFonts w:ascii="Georgia" w:hAnsi="Georgia"/>
          <w:b w:val="0"/>
          <w:i/>
          <w:sz w:val="20"/>
        </w:rPr>
        <w:t xml:space="preserve">Afeka Tel Aviv Academic College of Engineering, Israel</w:t>
      </w:r>
    </w:p>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Selecting a pretrained language model, or evaluating a fine-tuned one, for a specific application is a high-value</w:t>
      </w:r>
      <w:r>
        <w:t xml:space="preserve"> </w:t>
      </w:r>
      <w:r>
        <w:t xml:space="preserve">decision, yet the public benchmarks used to make it are poorly suited: a generic benchmark need not reflect a</w:t>
      </w:r>
      <w:r>
        <w:t xml:space="preserve"> </w:t>
      </w:r>
      <w:r>
        <w:t xml:space="preserve">particular</w:t>
      </w:r>
      <w:r>
        <w:t xml:space="preserve"> </w:t>
      </w:r>
      <w:r>
        <w:rPr>
          <w:i/>
          <w:iCs/>
        </w:rPr>
        <w:t xml:space="preserve">sub-domain or sub-task</w:t>
      </w:r>
      <w:r>
        <w:t xml:space="preserve">, and its scores are suspect when its items have</w:t>
      </w:r>
      <w:r>
        <w:t xml:space="preserve"> </w:t>
      </w:r>
      <w:r>
        <w:rPr>
          <w:i/>
          <w:iCs/>
        </w:rPr>
        <w:t xml:space="preserve">leaked into</w:t>
      </w:r>
      <w:r>
        <w:rPr>
          <w:i/>
          <w:iCs/>
        </w:rPr>
        <w:t xml:space="preserve"> </w:t>
      </w:r>
      <w:r>
        <w:rPr>
          <w:i/>
          <w:iCs/>
        </w:rPr>
        <w:t xml:space="preserve">pretraining</w:t>
      </w:r>
      <w:r>
        <w:t xml:space="preserve"> </w:t>
      </w:r>
      <w:r>
        <w:t xml:space="preserve">and are recalled rather than solved. We present</w:t>
      </w:r>
      <w:r>
        <w:t xml:space="preserve"> </w:t>
      </w:r>
      <w:r>
        <w:rPr>
          <w:b/>
          <w:bCs/>
        </w:rPr>
        <w:t xml:space="preserve">CoEval</w:t>
      </w:r>
      <w:r>
        <w:t xml:space="preserve">, an open framework that</w:t>
      </w:r>
      <w:r>
        <w:t xml:space="preserve"> </w:t>
      </w:r>
      <w:r>
        <w:t xml:space="preserve">supplies a trustworthy, task-specific signal through</w:t>
      </w:r>
      <w:r>
        <w:t xml:space="preserve"> </w:t>
      </w:r>
      <w:r>
        <w:rPr>
          <w:i/>
          <w:iCs/>
        </w:rPr>
        <w:t xml:space="preserve">ensemble self-evaluation</w:t>
      </w:r>
      <w:r>
        <w:t xml:space="preserve">: from a task or domain</w:t>
      </w:r>
      <w:r>
        <w:t xml:space="preserve"> </w:t>
      </w:r>
      <w:r>
        <w:t xml:space="preserve">description, a pool of models rotates through all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to generate a fresh, contamination-free benchmark, answer it, and score one another, with no human</w:t>
      </w:r>
      <w:r>
        <w:t xml:space="preserve"> </w:t>
      </w:r>
      <w:r>
        <w:t xml:space="preserve">labels or raters. Because every model also answers as a student, the responses are the data that weight each question</w:t>
      </w:r>
      <w:r>
        <w:t xml:space="preserve"> </w:t>
      </w:r>
      <w:r>
        <w:t xml:space="preserve">by its discriminative power and each judge by its consensus with the panel. Where ground truth exists, CoEval</w:t>
      </w:r>
      <w:r>
        <w:t xml:space="preserve"> </w:t>
      </w:r>
      <w:r>
        <w:t xml:space="preserve">recovers the true ranking and tracks objective correctness at</w:t>
      </w:r>
      <w:r>
        <w:t xml:space="preserve"> </w:t>
      </w:r>
      <m:oMath>
        <m:r>
          <m:t>ρ</m:t>
        </m:r>
        <m:r>
          <m:rPr>
            <m:sty m:val="p"/>
          </m:rPr>
          <m:t>=</m:t>
        </m:r>
        <m:r>
          <m:t>0.86</m:t>
        </m:r>
      </m:oMath>
      <w:r>
        <w:t xml:space="preserve">, and the weighting recovers the gold</w:t>
      </w:r>
      <w:r>
        <w:t xml:space="preserve"> </w:t>
      </w:r>
      <w:r>
        <w:t xml:space="preserve">ranking of thirteen models at Spearman</w:t>
      </w:r>
      <w:r>
        <w:t xml:space="preserve"> </w:t>
      </w:r>
      <m:oMath>
        <m:r>
          <m:t>0.95</m:t>
        </m:r>
      </m:oMath>
      <w:r>
        <w:t xml:space="preserve">. Reliability comes from panel</w:t>
      </w:r>
      <w:r>
        <w:t xml:space="preserve"> </w:t>
      </w:r>
      <w:r>
        <w:rPr>
          <w:i/>
          <w:iCs/>
        </w:rPr>
        <w:t xml:space="preserve">composition</w:t>
      </w:r>
      <w:r>
        <w:t xml:space="preserve">, not size: this</w:t>
      </w:r>
      <w:r>
        <w:t xml:space="preserve"> </w:t>
      </w:r>
      <w:r>
        <w:t xml:space="preserve">label-free weighting zeroes out broken judges and down-weights saturated questions, so neither distorts the ranking.</w:t>
      </w:r>
      <w:r>
        <w:t xml:space="preserve"> </w:t>
      </w:r>
      <w:r>
        <w:t xml:space="preserve">Generated items show</w:t>
      </w:r>
      <w:r>
        <w:t xml:space="preserve"> </w:t>
      </w:r>
      <w:r>
        <w:rPr>
          <w:i/>
          <w:iCs/>
        </w:rPr>
        <w:t xml:space="preserve">zero</w:t>
      </w:r>
      <w:r>
        <w:t xml:space="preserve"> </w:t>
      </w:r>
      <w:r>
        <w:t xml:space="preserve">verbatim overlap with five public benchmarks, the panel cancels verbosity bias and</w:t>
      </w:r>
      <w:r>
        <w:t xml:space="preserve"> </w:t>
      </w:r>
      <w:r>
        <w:t xml:space="preserve">precludes same-family self-preference, and rankings are</w:t>
      </w:r>
      <w:r>
        <w:t xml:space="preserve"> </w:t>
      </w:r>
      <w:r>
        <w:rPr>
          <w:i/>
          <w:iCs/>
        </w:rPr>
        <w:t xml:space="preserve">domain-specific</w:t>
      </w:r>
      <w:r>
        <w:t xml:space="preserve">: three different models top four</w:t>
      </w:r>
      <w:r>
        <w:t xml:space="preserve"> </w:t>
      </w:r>
      <w:r>
        <w:t xml:space="preserve">de-novo domains, so a generic leaderboard misdirects most practitioners. The same pipeline reruns on each model</w:t>
      </w:r>
      <w:r>
        <w:t xml:space="preserve"> </w:t>
      </w:r>
      <w:r>
        <w:t xml:space="preserve">release, giving any team a contamination-free leaderboard for its application.</w:t>
      </w: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selecting a pretrained language model, or evaluating a fine-tuned one, for a specific application</w:t>
      </w:r>
      <w:r>
        <w:t xml:space="preserve"> </w:t>
      </w:r>
      <w:r>
        <w:t xml:space="preserve">(summarizing clinical notes, answering questions over an internal knowledge base, triaging support tickets for a</w:t>
      </w:r>
      <w:r>
        <w:t xml:space="preserve"> </w:t>
      </w:r>
      <w:r>
        <w:t xml:space="preserve">particular product) faces a 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for</w:t>
      </w:r>
      <w:r>
        <w:t xml:space="preserve"> </w:t>
      </w:r>
      <w:r>
        <w:rPr>
          <w:i/>
          <w:iCs/>
        </w:rPr>
        <w:t xml:space="preserve">ensemble self-evaluation</w:t>
      </w:r>
      <w:r>
        <w:t xml:space="preserve">: a</w:t>
      </w:r>
      <w:r>
        <w:t xml:space="preserve"> </w:t>
      </w:r>
      <w:r>
        <w:t xml:space="preserve">pool of models rotates through all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to generate a</w:t>
      </w:r>
      <w:r>
        <w:t xml:space="preserve"> </w:t>
      </w:r>
      <w:r>
        <w:t xml:space="preserve">fresh, contamination-free benchmark, answer it, and score one another. Because every model also answers as a student,</w:t>
      </w:r>
      <w:r>
        <w:t xml:space="preserve"> </w:t>
      </w:r>
      <w:r>
        <w:t xml:space="preserve">the responses provide the data that weight each question by its discriminative power and each judge by its consensus</w:t>
      </w:r>
      <w:r>
        <w:t xml:space="preserve"> </w:t>
      </w:r>
      <w:r>
        <w:t xml:space="preserve">with the panel. CoEval contributes:</w:t>
      </w:r>
    </w:p>
    <w:p>
      <w:pPr>
        <w:pStyle w:val="Compact"/>
        <w:numPr>
          <w:ilvl w:val="0"/>
          <w:numId w:val="1001"/>
        </w:numPr>
        <w:ind w:left="360" w:hanging="259"/>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 and the generated items are</w:t>
      </w:r>
      <w:r>
        <w:t xml:space="preserve"> </w:t>
      </w:r>
      <w:r>
        <w:rPr>
          <w:i/>
          <w:iCs/>
        </w:rPr>
        <w:t xml:space="preserve">discriminative</w:t>
      </w:r>
      <w:r>
        <w:t xml:space="preserve">, separating candidate models (most carry ranking signal), the property a benchmark needs to</w:t>
      </w:r>
      <w:r>
        <w:t xml:space="preserve"> </w:t>
      </w:r>
      <w:r>
        <w:t xml:space="preserve">rank them rather than saturate.</w:t>
      </w:r>
    </w:p>
    <w:p>
      <w:pPr>
        <w:pStyle w:val="Compact"/>
        <w:numPr>
          <w:ilvl w:val="0"/>
          <w:numId w:val="1001"/>
        </w:numPr>
        <w:ind w:left="360" w:hanging="259"/>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ind w:left="360" w:hanging="259"/>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ind w:left="360" w:hanging="259"/>
        <w:jc w:val="both"/>
        <w:keepNext w:val="0"/>
        <w:keepLines w:val="0"/>
        <w:widowControl w:val="1"/>
      </w:pPr>
      <w:r>
        <w:rPr>
          <w:b/>
          <w:bCs/>
        </w:rPr>
        <w:t xml:space="preserve">(4) A reusable, open framework for per-domain ranking.</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re-runs on every model release, giving a team a renewable, application-specific</w:t>
      </w:r>
      <w:r>
        <w:t xml:space="preserve"> </w:t>
      </w:r>
      <w:r>
        <w:t xml:space="preserve">benchmark. Per-domain ranking carries real signal: across four de-novo domains three different models take first</w:t>
      </w:r>
      <w:r>
        <w:t xml:space="preserve"> </w:t>
      </w:r>
      <w:r>
        <w:t xml:space="preserve">place (Section 5.7), so CoEval directs each practitioner to the best model for their own use case where a</w:t>
      </w:r>
      <w:r>
        <w:t xml:space="preserve"> </w:t>
      </w:r>
      <w:r>
        <w:t xml:space="preserve">single generic leaderboard would not.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3; the doubly-robust aggregator recovers the true ranking of thirteen models at</w:t>
      </w:r>
      <w:r>
        <w:t xml:space="preserve"> </w:t>
      </w:r>
      <w:r>
        <w:t xml:space="preserve">Spearman 0.95).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end-to-end domain case studies on three custom verticals, and a demonstration that model rankings are domain-specific, so a generic leaderboard misdirects three of four domain practitioners.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is, to our knowledge, the first to combine all three: contamination-free,</w:t>
      </w:r>
      <w:r>
        <w:t xml:space="preserve"> </w:t>
      </w:r>
      <w:r>
        <w:t xml:space="preserve">label-free, domain-targeted generation with a reliability-controlled cross-family judge ensemble, into a single</w:t>
      </w:r>
      <w:r>
        <w:t xml:space="preserve"> </w:t>
      </w:r>
      <w:r>
        <w:t xml:space="preserve">tool aimed at the no-data, untrusted-benchmark regime. 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trains a dedicated open evaluator.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p>
      <w:pPr>
        <w:pStyle w:val="BodyText"/>
        <w:jc w:val="both"/>
        <w:keepNext w:val="0"/>
        <w:keepLines w:val="0"/>
        <w:widowControl w:val="1"/>
      </w:pPr>
      <w:r>
        <w:t xml:space="preserve">The idea that a rater's reliability can be inferred from inter-rater agreement, with no ground truth, dates back to</w:t>
      </w:r>
      <w:r>
        <w:t xml:space="preserve"> </w:t>
      </w:r>
      <w:r>
        <w:rPr>
          <w:i/>
          <w:iCs/>
        </w:rPr>
        <w:t xml:space="preserve">Dawid and Skene</w:t>
      </w:r>
      <w:r>
        <w:t xml:space="preserve"> </w:t>
      </w:r>
      <w:r>
        <w:t xml:space="preserve">[</w:t>
      </w:r>
      <w:hyperlink w:anchor="r33">
        <w:r>
          <w:rPr>
            <w:rStyle w:val="Hyperlink"/>
          </w:rPr>
          <w:t xml:space="preserve">33</w:t>
        </w:r>
      </w:hyperlink>
      <w:r>
        <w:t xml:space="preserve">], whose EM algorithm estimates latent labels and per-rater error rates</w:t>
      </w:r>
      <w:r>
        <w:t xml:space="preserve"> </w:t>
      </w:r>
      <w:r>
        <w:t xml:space="preserve">jointly; CoEval applies the same principle to a vendor-disjoint LLM panel, where peer agreement both down-weights and</w:t>
      </w:r>
      <w:r>
        <w:t xml:space="preserve"> </w:t>
      </w:r>
      <w:r>
        <w:t xml:space="preserve">diagnoses unreliable judges (Section 5.2).</w:t>
      </w:r>
      <w:r>
        <w:t xml:space="preserve"> </w:t>
      </w:r>
      <w:r>
        <w:t xml:space="preserve">A parallel and very recent line of work makes judge aggregation itself</w:t>
      </w:r>
      <w:r>
        <w:t xml:space="preserve"> </w:t>
      </w:r>
      <w:r>
        <w:rPr>
          <w:i/>
          <w:iCs/>
        </w:rPr>
        <w:t xml:space="preserve">label-free and reliability-aware</w:t>
      </w:r>
      <w:r>
        <w:t xml:space="preserve">.</w:t>
      </w:r>
      <w:r>
        <w:t xml:space="preserve"> </w:t>
      </w:r>
      <w:r>
        <w:t xml:space="preserve">Judge-aware jury methods learn a per-judge reliability parameter jointly with the model ranking from pairwise</w:t>
      </w:r>
      <w:r>
        <w:t xml:space="preserve"> </w:t>
      </w:r>
      <w:r>
        <w:t xml:space="preserve">comparisons (the judge-discriminator Bradley–Terry model of [</w:t>
      </w:r>
      <w:hyperlink w:anchor="r27">
        <w:r>
          <w:rPr>
            <w:rStyle w:val="Hyperlink"/>
          </w:rPr>
          <w:t xml:space="preserve">27</w:t>
        </w:r>
      </w:hyperlink>
      <w:r>
        <w:t xml:space="preserve">] and the judge-aware ranking</w:t>
      </w:r>
      <w:r>
        <w:t xml:space="preserve"> </w:t>
      </w:r>
      <w:r>
        <w:t xml:space="preserve">framework of [</w:t>
      </w:r>
      <w:hyperlink w:anchor="r29">
        <w:r>
          <w:rPr>
            <w:rStyle w:val="Hyperlink"/>
          </w:rPr>
          <w:t xml:space="preserve">29</w:t>
        </w:r>
      </w:hyperlink>
      <w:r>
        <w:t xml:space="preserve">]), and confounder-aware aggregation [</w:t>
      </w:r>
      <w:hyperlink w:anchor="r28">
        <w:r>
          <w:rPr>
            <w:rStyle w:val="Hyperlink"/>
          </w:rPr>
          <w:t xml:space="preserve">28</w:t>
        </w:r>
      </w:hyperlink>
      <w:r>
        <w:t xml:space="preserve">] separates true</w:t>
      </w:r>
      <w:r>
        <w:t xml:space="preserve"> </w:t>
      </w:r>
      <w:r>
        <w:t xml:space="preserve">quality from shared judge confounders without ground-truth labels. CoEval's unsupervised reliability-weighted</w:t>
      </w:r>
      <w:r>
        <w:t xml:space="preserve"> </w:t>
      </w:r>
      <w:r>
        <w:t xml:space="preserve">aggregator (Section 5.2) shares this label-free goal, and our contribution is not the aggregator in isolation but</w:t>
      </w:r>
      <w:r>
        <w:t xml:space="preserve"> </w:t>
      </w:r>
      <w:r>
        <w:t xml:space="preserve">its</w:t>
      </w:r>
      <w:r>
        <w:t xml:space="preserve"> </w:t>
      </w:r>
      <w:r>
        <w:rPr>
          <w:i/>
          <w:iCs/>
        </w:rPr>
        <w:t xml:space="preserve">integration</w:t>
      </w:r>
      <w:r>
        <w:t xml:space="preserve"> </w:t>
      </w:r>
      <w:r>
        <w:t xml:space="preserve">with the rest of the loop: these methods assume a fixed, externally supplied item set, scored</w:t>
      </w:r>
      <w:r>
        <w:t xml:space="preserve"> </w:t>
      </w:r>
      <w:r>
        <w:t xml:space="preserve">as pairwise comparisons by a single-vendor judge pool, whereas CoEval supplies the items themselves (generated de novo</w:t>
      </w:r>
      <w:r>
        <w:t xml:space="preserve"> </w:t>
      </w:r>
      <w:r>
        <w:t xml:space="preserve">and contamination-free) and scores them as rubric-anchored absolute scores from a</w:t>
      </w:r>
      <w:r>
        <w:t xml:space="preserve"> </w:t>
      </w:r>
      <w:r>
        <w:rPr>
          <w:i/>
          <w:iCs/>
        </w:rPr>
        <w:t xml:space="preserve">vendor-disjoint</w:t>
      </w:r>
      <w:r>
        <w:t xml:space="preserve"> </w:t>
      </w:r>
      <w:r>
        <w:t xml:space="preserve">panel, so</w:t>
      </w:r>
      <w:r>
        <w:t xml:space="preserve"> </w:t>
      </w:r>
      <w:r>
        <w:t xml:space="preserve">the item supply and the judge pool are both bias-hardened rather than only the aggregation step. Owning the whole loop</w:t>
      </w:r>
      <w:r>
        <w:t xml:space="preserve"> </w:t>
      </w:r>
      <w:r>
        <w:t xml:space="preserve">is what surfaces the</w:t>
      </w:r>
      <w:r>
        <w:t xml:space="preserve"> </w:t>
      </w:r>
      <w:r>
        <w:rPr>
          <w:i/>
          <w:iCs/>
        </w:rPr>
        <w:t xml:space="preserve">judge-choice regret</w:t>
      </w:r>
      <w:r>
        <w:t xml:space="preserve"> </w:t>
      </w:r>
      <w:r>
        <w:t xml:space="preserve">of Section 5.2: a single judge can be anti-correlated with</w:t>
      </w:r>
      <w:r>
        <w:t xml:space="preserve"> </w:t>
      </w:r>
      <w:r>
        <w:t xml:space="preserve">ground truth where the 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 [</w:t>
      </w:r>
      <w:hyperlink w:anchor="r9">
        <w:r>
          <w:rPr>
            <w:rStyle w:val="Hyperlink"/>
          </w:rPr>
          <w:t xml:space="preserve">9</w:t>
        </w:r>
      </w:hyperlink>
      <w:r>
        <w:t xml:space="preserve">] 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 [</w:t>
      </w:r>
      <w:hyperlink w:anchor="r10">
        <w:r>
          <w:rPr>
            <w:rStyle w:val="Hyperlink"/>
          </w:rPr>
          <w:t xml:space="preserve">10</w:t>
        </w:r>
      </w:hyperlink>
      <w:r>
        <w:t xml:space="preserve">] and YourBench [</w:t>
      </w:r>
      <w:hyperlink w:anchor="r11">
        <w:r>
          <w:rPr>
            <w:rStyle w:val="Hyperlink"/>
          </w:rPr>
          <w:t xml:space="preserve">11</w:t>
        </w:r>
      </w:hyperlink>
      <w:r>
        <w:t xml:space="preserve">] likewise</w:t>
      </w:r>
      <w:r>
        <w:t xml:space="preserve"> </w:t>
      </w:r>
      <w:r>
        <w:t xml:space="preserve">automate benchmark construction; CoEval's distinguishing feature is attribute-</w:t>
      </w:r>
      <w:r>
        <w:rPr>
          <w:i/>
          <w:iCs/>
        </w:rPr>
        <w:t xml:space="preserve">stratified</w:t>
      </w:r>
      <w:r>
        <w:t xml:space="preserve"> </w:t>
      </w:r>
      <w:r>
        <w:t xml:space="preserve">coverage: the</w:t>
      </w:r>
      <w:r>
        <w:t xml:space="preserve"> </w:t>
      </w:r>
      <w:r>
        <w:t xml:space="preserve">sampler allocates a per-stratum floor of items to each declared attribute combination, coupled to bias-cancelled</w:t>
      </w:r>
      <w:r>
        <w:t xml:space="preserve"> </w:t>
      </w:r>
      <w:r>
        <w:t xml:space="preserve">scoring. The contamination motivation is sharpened by GSM1k</w:t>
      </w:r>
      <w:r>
        <w:t xml:space="preserve"> </w:t>
      </w:r>
      <w:r>
        <w:t xml:space="preserve">[</w:t>
      </w:r>
      <w:hyperlink w:anchor="r12">
        <w:r>
          <w:rPr>
            <w:rStyle w:val="Hyperlink"/>
          </w:rPr>
          <w:t xml:space="preserve">12</w:t>
        </w:r>
      </w:hyperlink>
      <w:r>
        <w:t xml:space="preserve">], which exposed memorization on grade-school arithmetic, and by recent surveys of</w:t>
      </w:r>
      <w:r>
        <w:t xml:space="preserve"> </w:t>
      </w:r>
      <w:r>
        <w:t xml:space="preserve">data contamination in LLMs [</w:t>
      </w:r>
      <w:hyperlink w:anchor="r13">
        <w:r>
          <w:rPr>
            <w:rStyle w:val="Hyperlink"/>
          </w:rPr>
          <w:t xml:space="preserve">13</w:t>
        </w:r>
      </w:hyperlink>
      <w:r>
        <w:t xml:space="preserve">]. Live benchmarks such as LiveBench</w:t>
      </w:r>
      <w:r>
        <w:t xml:space="preserve"> </w:t>
      </w:r>
      <w:r>
        <w:t xml:space="preserve">[</w:t>
      </w:r>
      <w:hyperlink w:anchor="r22">
        <w:r>
          <w:rPr>
            <w:rStyle w:val="Hyperlink"/>
          </w:rPr>
          <w:t xml:space="preserve">22</w:t>
        </w:r>
      </w:hyperlink>
      <w:r>
        <w:t xml:space="preserve">] and LiveCodeBench [</w:t>
      </w:r>
      <w:hyperlink w:anchor="r23">
        <w:r>
          <w:rPr>
            <w:rStyle w:val="Hyperlink"/>
          </w:rPr>
          <w:t xml:space="preserve">23</w:t>
        </w:r>
      </w:hyperlink>
      <w:r>
        <w:t xml:space="preserve">] 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Two recent generators are closest to our item-synthesis step: CHASE</w:t>
      </w:r>
      <w:r>
        <w:t xml:space="preserve"> </w:t>
      </w:r>
      <w:r>
        <w:t xml:space="preserve">[</w:t>
      </w:r>
      <w:hyperlink w:anchor="r30">
        <w:r>
          <w:rPr>
            <w:rStyle w:val="Hyperlink"/>
          </w:rPr>
          <w:t xml:space="preserve">30</w:t>
        </w:r>
      </w:hyperlink>
      <w:r>
        <w:t xml:space="preserve">] composes challenging problems bottom-up from verifiable sub-tasks with no human involvement,</w:t>
      </w:r>
      <w:r>
        <w:t xml:space="preserve"> </w:t>
      </w:r>
      <w:r>
        <w:t xml:space="preserve">and DataMorgana [</w:t>
      </w:r>
      <w:hyperlink w:anchor="r31">
        <w:r>
          <w:rPr>
            <w:rStyle w:val="Hyperlink"/>
          </w:rPr>
          <w:t xml:space="preserve">31</w:t>
        </w:r>
      </w:hyperlink>
      <w:r>
        <w:t xml:space="preserve">] produces configuration-driven synthetic question–answer sets with</w:t>
      </w:r>
      <w:r>
        <w:t xml:space="preserve"> </w:t>
      </w:r>
      <w:r>
        <w:t xml:space="preserve">controllable category distributions, close to our attribute-stratified sampling. Both stop at item generation; CoEval</w:t>
      </w:r>
      <w:r>
        <w:t xml:space="preserve"> </w:t>
      </w:r>
      <w:r>
        <w:t xml:space="preserve">differs by closing the loop to a model</w:t>
      </w:r>
      <w:r>
        <w:t xml:space="preserve"> </w:t>
      </w:r>
      <w:r>
        <w:rPr>
          <w:i/>
          <w:iCs/>
        </w:rPr>
        <w:t xml:space="preserve">ranking</w:t>
      </w:r>
      <w:r>
        <w:t xml:space="preserve">, adding the vendor-disjoint judge panel and label-free</w:t>
      </w:r>
      <w:r>
        <w:t xml:space="preserve"> </w:t>
      </w:r>
      <w:r>
        <w:t xml:space="preserve">aggregation that turn fresh items into a defensible leaderboard. A recent survey of the move from static to dynamic</w:t>
      </w:r>
      <w:r>
        <w:t xml:space="preserve"> </w:t>
      </w:r>
      <w:r>
        <w:t xml:space="preserve">contamination-resistant benchmarks [</w:t>
      </w:r>
      <w:hyperlink w:anchor="r32">
        <w:r>
          <w:rPr>
            <w:rStyle w:val="Hyperlink"/>
          </w:rPr>
          <w:t xml:space="preserve">32</w:t>
        </w:r>
      </w:hyperlink>
      <w:r>
        <w:t xml:space="preserve">] situates this shift. Dynabench [</w:t>
      </w:r>
      <w:hyperlink w:anchor="r14">
        <w:r>
          <w:rPr>
            <w:rStyle w:val="Hyperlink"/>
          </w:rPr>
          <w:t xml:space="preserve">14</w:t>
        </w:r>
      </w:hyperlink>
      <w:r>
        <w:t xml:space="preserve">]</w:t>
      </w:r>
      <w:r>
        <w:t xml:space="preserve"> </w:t>
      </w:r>
      <w:r>
        <w:t xml:space="preserve">proposed dynamic, human-in-the-loop renewal; CoEval automates renewal without humans. Constructing domain-specific evaluation sets for LLM judges</w:t>
      </w:r>
      <w:r>
        <w:t xml:space="preserve"> </w:t>
      </w:r>
      <w:r>
        <w:t xml:space="preserve">[</w:t>
      </w:r>
      <w:hyperlink w:anchor="r25">
        <w:r>
          <w:rPr>
            <w:rStyle w:val="Hyperlink"/>
          </w:rPr>
          <w:t xml:space="preserve">25</w:t>
        </w:r>
      </w:hyperlink>
      <w:r>
        <w:t xml:space="preserve">] targets verticals such as medicine and law; CoEval generates such domain-targeted</w:t>
      </w:r>
      <w:r>
        <w:t xml:space="preserve"> </w:t>
      </w:r>
      <w:r>
        <w:t xml:space="preserve">items automatically within the same pipeline. Length-Controlled AlpacaEval [</w:t>
      </w:r>
      <w:hyperlink w:anchor="r8">
        <w:r>
          <w:rPr>
            <w:rStyle w:val="Hyperlink"/>
          </w:rPr>
          <w:t xml:space="preserve">8</w:t>
        </w:r>
      </w:hyperlink>
      <w:r>
        <w:t xml:space="preserve">] debiases for</w:t>
      </w:r>
      <w:r>
        <w:t xml:space="preserve"> </w:t>
      </w:r>
      <w:r>
        <w:t xml:space="preserve">verbosity post hoc on a single judge; CoEval instead cancels verbosity bias through panel diversity (Section 5.3).</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pStyle w:val="BodyText"/>
        <w:jc w:val="center"/>
        <w:keepNext/>
        <w:keepLines/>
        <w:widowControl w:val="1"/>
      </w:pPr>
      <w:r>
        <w:drawing>
          <wp:inline>
            <wp:extent cx="5943600" cy="1920171"/>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5943600" cy="192017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CoEval pipeline. A single pool of models rotates through three roles: teachers map attributes, construct rubrics, and generate fresh benchmark items (Phases 1–3); students produce candidate responses (Phase 4); and a cross-family judge ensemble scores them (Phase 5). The entire run is specified in one declarative configuration.</w:t>
      </w: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It generalizes</w:t>
      </w:r>
      <w:r>
        <w:t xml:space="preserve"> </w:t>
      </w:r>
      <w:r>
        <w:t xml:space="preserve">to a</w:t>
      </w:r>
      <w:r>
        <w:t xml:space="preserve"> </w:t>
      </w:r>
      <w:r>
        <w:rPr>
          <w:b/>
          <w:bCs/>
        </w:rPr>
        <w:t xml:space="preserve">doubly-robust ranking</w:t>
      </w:r>
      <w:r>
        <w:t xml:space="preserve"> </w:t>
      </w:r>
      <w:r>
        <w:t xml:space="preserve">that also weights each item by its</w:t>
      </w:r>
      <w:r>
        <w:t xml:space="preserve"> </w:t>
      </w:r>
      <w:r>
        <w:rPr>
          <w:i/>
          <w:iCs/>
        </w:rPr>
        <w:t xml:space="preserve">discriminative power</w:t>
      </w:r>
      <w:r>
        <w:t xml:space="preserve"> </w:t>
      </w:r>
      <m:oMath>
        <m:sSub>
          <m:e>
            <m:r>
              <m:t>d</m:t>
            </m:r>
          </m:e>
          <m:sub>
            <m:r>
              <m:t>i</m:t>
            </m:r>
          </m:sub>
        </m:sSub>
        <m:r>
          <m:rPr>
            <m:sty m:val="p"/>
          </m:rPr>
          <m:t>∝</m:t>
        </m:r>
        <m:sSub>
          <m:e>
            <m:r>
              <m:rPr>
                <m:sty m:val="p"/>
              </m:rPr>
              <m:t>Var</m:t>
            </m:r>
          </m:e>
          <m:sub>
            <m:r>
              <m:t>m</m:t>
            </m:r>
          </m:sub>
        </m:sSub>
        <m:sSub>
          <m:e>
            <m:r>
              <m:t>s</m:t>
            </m:r>
          </m:e>
          <m:sub>
            <m:r>
              <m:t>m</m:t>
            </m:r>
            <m:r>
              <m:rPr>
                <m:sty m:val="p"/>
              </m:rPr>
              <m:t>,</m:t>
            </m:r>
            <m:r>
              <m:t>i</m:t>
            </m:r>
          </m:sub>
        </m:sSub>
      </m:oMath>
      <w:r>
        <w:t xml:space="preserve"> </w:t>
      </w:r>
      <w:r>
        <w:t xml:space="preserve">(the variance of candidate-model scores on item</w:t>
      </w:r>
      <w:r>
        <w:t xml:space="preserve"> </w:t>
      </w:r>
      <m:oMath>
        <m:r>
          <m:t>i</m:t>
        </m:r>
      </m:oMath>
      <w:r>
        <w:t xml:space="preserve">), so the ranking leans</w:t>
      </w:r>
      <w:r>
        <w:t xml:space="preserve"> </w:t>
      </w:r>
      <w:r>
        <w:t xml:space="preserve">on the items that actually separate models and on the judges that agree with the panel, both label-free: the model</w:t>
      </w:r>
      <w:r>
        <w:t xml:space="preserve"> </w:t>
      </w:r>
      <w:r>
        <w:t xml:space="preserve">score is</w:t>
      </w:r>
      <w:r>
        <w:t xml:space="preserve"> </w:t>
      </w:r>
      <m:oMath>
        <m:nary>
          <m:naryPr>
            <m:chr m:val="∑"/>
            <m:limLoc m:val="undOvr"/>
            <m:subHide m:val="off"/>
            <m:supHide m:val="on"/>
          </m:naryPr>
          <m:sub>
            <m:r>
              <m:t>i</m:t>
            </m:r>
          </m:sub>
          <m:sup>
            <m:r>
              <m:t>​</m:t>
            </m:r>
          </m:sup>
          <m:e>
            <m:sSub>
              <m:e>
                <m:r>
                  <m:t>d</m:t>
                </m:r>
              </m:e>
              <m:sub>
                <m:r>
                  <m:t>i</m:t>
                </m:r>
              </m:sub>
            </m:sSub>
          </m:e>
        </m:nary>
        <m:nary>
          <m:naryPr>
            <m:chr m:val="∑"/>
            <m:limLoc m:val="undOvr"/>
            <m:subHide m:val="off"/>
            <m:supHide m:val="on"/>
          </m:naryPr>
          <m:sub>
            <m:r>
              <m:t>j</m:t>
            </m:r>
          </m:sub>
          <m:sup>
            <m:r>
              <m:t>​</m:t>
            </m:r>
          </m:sup>
          <m:e>
            <m:sSub>
              <m:e>
                <m:r>
                  <m:t>w</m:t>
                </m:r>
              </m:e>
              <m:sub>
                <m:r>
                  <m:t>j</m:t>
                </m:r>
              </m:sub>
            </m:sSub>
          </m:e>
        </m:nary>
        <m:r>
          <m:t> </m:t>
        </m:r>
        <m:sSub>
          <m:e>
            <m:r>
              <m:t>s</m:t>
            </m:r>
          </m:e>
          <m:sub>
            <m:r>
              <m:t>m</m:t>
            </m:r>
            <m:r>
              <m:rPr>
                <m:sty m:val="p"/>
              </m:rPr>
              <m:t>,</m:t>
            </m:r>
            <m:r>
              <m:t>i</m:t>
            </m:r>
            <m:r>
              <m:rPr>
                <m:sty m:val="p"/>
              </m:rPr>
              <m:t>,</m:t>
            </m:r>
            <m:r>
              <m:t>j</m:t>
            </m:r>
          </m:sub>
        </m:sSub>
      </m:oMath>
      <w:r>
        <w:t xml:space="preserve">, normalized. We evaluate these aggregators in Section 5.2.</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pStyle w:val="TableCaption"/>
        <w:spacing w:before="280" w:after="60" w:line="240" w:lineRule="auto"/>
        <w:jc w:val="center"/>
        <w:keepNext/>
        <w:keepLines/>
        <w:widowControl w:val="1"/>
      </w:pPr>
      <w:r>
        <w:rPr>
          <w:b/>
          <w:i/>
        </w:rPr>
        <w:t>Table 1.</w:t>
      </w:r>
      <w:r>
        <w:rPr>
          <w:b w:val="0"/>
          <w:i/>
        </w:rPr>
        <w:t xml:space="preserve"> </w:t>
      </w:r>
      <w:r>
        <w:rPr>
          <w:b w:val="0"/>
          <w:i/>
        </w:rPr>
        <w:t>Experimental configurations. Judge panels differ by experiment because the ground-truth anchor (5.1) uses a frontier cross-family panel while the bias and reliability studies (5.2–5.3) use a deliberately heterogeneous panel that includes weak open-weight judges; the verticals (5.4, 5.7) reuse one 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because the ground-truth anchor (5.1) uses a frontier cross-family panel while the bias and reliability studies (5.2–5.3) use a deliberately heterogeneous panel that includes weak open-weight judges; the verticals (5.4, 5.7)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Experiment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Task(s)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Judge panel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Size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5.1 ground truth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SciQ, ARC (exact-match QA)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 claude-sonnet-4, gemini-2.5-flash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191 items / 573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 reliability (5.1 summ. 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code (BLEU), news + text summ. (BERTScore)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 gpt-3.5-turbo, claude-haiku, 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 tasks / 900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5.2–5.3, App. 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4-task medium study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 gpt-3.5-turbo, qwen2.5-1.5b, smollm2-1.7b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7,978 eval.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5.4, 5.6 verticals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drug-interaction, clinical, legal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claude-haiku, gemini-flash, 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40 items each</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5.5 contamination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SciQ memorization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exact-match (no LLM judge)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200 memorized / 100 fresh</w:t>
            </w:r>
          </w:p>
        </w:tc>
      </w:tr>
    </w:tbl>
    <w:bookmarkEnd w:id="23"/>
    <w:bookmarkStart w:id="40"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Sections 5.2–5.4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and structurally avoids</w:t>
      </w:r>
      <w:r>
        <w:t xml:space="preserve"> </w:t>
      </w:r>
      <w:r>
        <w:t xml:space="preserve">self-preference (5.4);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5.5 verifies the second condition</w:t>
      </w:r>
      <w:r>
        <w:t xml:space="preserve"> </w:t>
      </w:r>
      <w:r>
        <w:t xml:space="preserve">directly, that the generated items are</w:t>
      </w:r>
      <w:r>
        <w:t xml:space="preserve"> </w:t>
      </w:r>
      <w:r>
        <w:rPr>
          <w:i/>
          <w:iCs/>
        </w:rPr>
        <w:t xml:space="preserve">contamination-free</w:t>
      </w:r>
      <w:r>
        <w:t xml:space="preserve">. Section 5.6 exercises the complete tool on three custom verticals (drug interaction, clinical, legal) with no labeled data, and Section 5.7 shows that rankings are domain-specific: across four de-novo domains three different models take first place, so a generic leaderboard misdirects the practitioner that CoEval's per-domain ranking serves.</w:t>
      </w:r>
    </w:p>
    <w:bookmarkStart w:id="27" w:name="ground-truth-correlation"/>
    <w:p>
      <w:pPr>
        <w:pStyle w:val="Heading3"/>
        <w:keepNext/>
        <w:keepLines/>
        <w:widowControl w:val="1"/>
      </w:pPr>
      <w:r>
        <w:t xml:space="preserve">5.1 Ground-truth correlation</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0.20</m:t>
        </m:r>
      </m:oMath>
      <w:r>
        <w:t xml:space="preserve">) and the full-rubric average (</w:t>
      </w:r>
      <m:oMath>
        <m:r>
          <m:t>ρ</m:t>
        </m:r>
        <m:r>
          <m:rPr>
            <m:sty m:val="p"/>
          </m:rPr>
          <m:t>=</m:t>
        </m:r>
        <m:r>
          <m:t>0.55</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pStyle w:val="TableCaption"/>
        <w:spacing w:before="280" w:after="60" w:line="240" w:lineRule="auto"/>
        <w:jc w:val="center"/>
        <w:keepNext/>
        <w:keepLines/>
        <w:widowControl w:val="1"/>
      </w:pPr>
      <w:r>
        <w:rPr>
          <w:b/>
          <w:i/>
        </w:rPr>
        <w:t>Table 2.</w:t>
      </w:r>
      <w:r>
        <w:rPr>
          <w:b w:val="0"/>
          <w:i/>
        </w:rPr>
        <w:t xml:space="preserve"> </w:t>
      </w:r>
      <w:r>
        <w:rPr>
          <w:b w:val="0"/>
          <w:i/>
        </w:rPr>
        <w:t>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Evaluator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SciQ</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ARC-Challenge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Overall (clustered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CoEval frontier ensemble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+0.859</w:t>
            </w:r>
            <w:r>
              <w:rPr>
                <w:rFonts w:ascii="Georgia" w:hAnsi="Georgia"/>
                <w:sz w:val="19"/>
              </w:rPr>
              <w:t xml:space="preserve"> </w:t>
            </w:r>
            <w:r>
              <w:rPr>
                <w:rFonts w:ascii="Georgia" w:hAnsi="Georgia"/>
                <w:sz w:val="19"/>
              </w:rPr>
              <w:t xml:space="preserve">[0.77, 0.94]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gpt-4o (OpenAI)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claude-sonnet-4 (Anthropic)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  gemini-2.5-flash (Google)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bl>
    <w:p>
      <w:pPr>
        <w:pStyle w:val="BodyText"/>
        <w:spacing w:before="240"/>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 On open-ended summarization scored against a lexical</w:t>
      </w:r>
      <w:r>
        <w:t xml:space="preserve"> </w:t>
      </w:r>
      <w:r>
        <w:t xml:space="preserve">BERTScore reference, the cross-family ensemble (</w:t>
      </w:r>
      <m:oMath>
        <m:r>
          <m:t>ρ</m:t>
        </m:r>
        <m:r>
          <m:rPr>
            <m:sty m:val="p"/>
          </m:rPr>
          <m:t>=</m:t>
        </m:r>
        <m:r>
          <m:t>0.227</m:t>
        </m:r>
      </m:oMath>
      <w:r>
        <w:t xml:space="preserve">) tracks ground truth within the confidence interval of a</w:t>
      </w:r>
      <w:r>
        <w:t xml:space="preserve"> </w:t>
      </w:r>
      <w:r>
        <w:t xml:space="preserve">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a statistical tie with this strong single-judge baseline, without depending on any one model. A single judge</w:t>
      </w:r>
      <w:r>
        <w:t xml:space="preserve"> </w:t>
      </w:r>
      <w:r>
        <w:t xml:space="preserve">is a gamble one cannot hedge in advance: on this summarization subset (</w:t>
      </w:r>
      <m:oMath>
        <m:r>
          <m:t>n</m:t>
        </m:r>
        <m:r>
          <m:rPr>
            <m:sty m:val="p"/>
          </m:rPr>
          <m:t>=</m:t>
        </m:r>
        <m:r>
          <m:t>580</m:t>
        </m:r>
      </m:oMath>
      <w:r>
        <w:t xml:space="preserve">)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CoEval recovers the true model ranking with no labels. For each student model the CoEval frontier-ensemble accuracy score (green, datapoint-clustered 95% CI) and the held-out ground-truth accuracy (blue) coincide within 0.02, and the order gpt-4o-mini &gt; gpt-3.5-turbo &gt; llama-3.2-3b is reproduced exactly (cf. Table 3).</w:t>
      </w:r>
    </w:p>
    <w:p>
      <w:pPr>
        <w:pStyle w:val="TableCaption"/>
        <w:spacing w:before="280" w:after="60" w:line="240" w:lineRule="auto"/>
        <w:jc w:val="center"/>
        <w:keepNext/>
        <w:keepLines/>
        <w:widowControl w:val="1"/>
      </w:pPr>
      <w:r>
        <w:rPr>
          <w:b/>
          <w:i/>
        </w:rPr>
        <w:t>Table 3.</w:t>
      </w:r>
      <w:r>
        <w:rPr>
          <w:b w:val="0"/>
          <w:i/>
        </w:rPr>
        <w:t xml:space="preserve"> </w:t>
      </w:r>
      <w:r>
        <w:rPr>
          <w:b w:val="0"/>
          <w:i/>
        </w:rPr>
        <w:t>CoEval reproduces the ground-truth model ranking. Three student models ranked by CoEval frontier-ensemble accuracy score (datapoint-clustered 95% CI) and by exact-match ground truth; the orderings 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 under evaluation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CoEval score [95% CI]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Ground-truth accuracy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0.963 [0.937, 0.984]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0.969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0.921 [0.880, 0.958]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0.942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0.843 [0.791, 0.895]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0.832</w:t>
            </w:r>
          </w:p>
        </w:tc>
      </w:tr>
    </w:tbl>
    <w:bookmarkEnd w:id="27"/>
    <w:bookmarkStart w:id="31" w:name="Xe8bbf6e8b303eda2252037f5179fa153abacf26"/>
    <w:p>
      <w:pPr>
        <w:pStyle w:val="Heading3"/>
        <w:keepNext/>
        <w:keepLines/>
        <w:widowControl w:val="1"/>
      </w:pPr>
      <w:r>
        <w:t xml:space="preserve">5.2 Ensemble reliability: composition, judge-choice regret, and a self-validating panel</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indiscriminately adding low-agreement judges lowers the mean inter-rater correlation</w:t>
      </w:r>
      <w:r>
        <w:t xml:space="preserve"> </w:t>
      </w:r>
      <m:oMath>
        <m:acc>
          <m:accPr>
            <m:chr m:val="‾"/>
          </m:accPr>
          <m:e>
            <m:r>
              <m:t>r</m:t>
            </m:r>
          </m:e>
        </m:acc>
      </m:oMath>
      <w:r>
        <w:t xml:space="preserve"> </w:t>
      </w:r>
      <w:r>
        <w:t xml:space="preserve">faster than averaging can compensate, so</w:t>
      </w:r>
      <w:r>
        <w:t xml:space="preserve"> </w:t>
      </w:r>
      <m:oMath>
        <m:sSub>
          <m:e>
            <m:r>
              <m:t>R</m:t>
            </m:r>
          </m:e>
          <m:sub>
            <m:r>
              <m:t>k</m:t>
            </m:r>
          </m:sub>
        </m:sSub>
      </m:oMath>
      <w:r>
        <w:t xml:space="preserve"> </w:t>
      </w:r>
      <w:r>
        <w:t xml:space="preserve">in the Spearman–Brown relation can fall. CoEval's</w:t>
      </w:r>
      <w:r>
        <w:t xml:space="preserve"> </w:t>
      </w:r>
      <w:r>
        <w:t xml:space="preserve">consensus criterion identifies and retains the high-agreement judges, delivering the reliable configuration</w:t>
      </w:r>
      <w:r>
        <w:t xml:space="preserve"> </w:t>
      </w:r>
      <w:r>
        <w:t xml:space="preserve">automatically. In other words, the framework converts panel composition from a liability for an unweighted</w:t>
      </w:r>
      <w:r>
        <w:t xml:space="preserve"> </w:t>
      </w:r>
      <w:r>
        <w:t xml:space="preserve">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Composition over size. Average-measures reliability ICC(3, k) as judges are added in descending agreement order. A selected strong panel reaches ICC = 0.70; indiscriminately adding low-agreement judges lowers the mean inter-rater correlation faster than averaging compensates, so reliability falls. CoEval's consensus selection retains the high-agreement judges, delivering the reliable configuration automatically.</w:t>
      </w:r>
    </w:p>
    <w:p>
      <w:pPr>
        <w:pStyle w:val="BodyText"/>
        <w:jc w:val="both"/>
        <w:keepNext w:val="0"/>
        <w:keepLines w:val="0"/>
        <w:widowControl w:val="1"/>
      </w:pPr>
      <w:r>
        <w:t xml:space="preserve">Composition matters because the</w:t>
      </w:r>
      <w:r>
        <w:t xml:space="preserve"> </w:t>
      </w:r>
      <w:r>
        <w:rPr>
          <w:i/>
          <w:iCs/>
        </w:rPr>
        <w:t xml:space="preserve">wrong single judge can be worse than useless</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w:t>
      </w:r>
      <w:hyperlink w:anchor="r33">
        <w:r>
          <w:rPr>
            <w:rStyle w:val="Hyperlink"/>
          </w:rPr>
          <w:t xml:space="preserve">33</w:t>
        </w:r>
      </w:hyperlink>
      <w:r>
        <w:t xml:space="preserve">]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t xml:space="preserve">This self-correction has a precise boundary, and the boundary is exactly the cross-family design. It tolerates any</w:t>
      </w:r>
      <w:r>
        <w:t xml:space="preserve"> </w:t>
      </w:r>
      <w:r>
        <w:t xml:space="preserve">number of</w:t>
      </w:r>
      <w:r>
        <w:t xml:space="preserve"> </w:t>
      </w:r>
      <w:r>
        <w:rPr>
          <w:i/>
          <w:iCs/>
        </w:rPr>
        <w:t xml:space="preserve">independent</w:t>
      </w:r>
      <w:r>
        <w:t xml:space="preserve"> </w:t>
      </w:r>
      <w:r>
        <w:t xml:space="preserve">broken judges: adding six uniform-random judges to the four-judge panel leaves the</w:t>
      </w:r>
      <w:r>
        <w:t xml:space="preserve"> </w:t>
      </w:r>
      <w:r>
        <w:t xml:space="preserve">reliability-weighted accuracy at</w:t>
      </w:r>
      <w:r>
        <w:t xml:space="preserve"> </w:t>
      </w:r>
      <m:oMath>
        <m:r>
          <m:t>0.25</m:t>
        </m:r>
      </m:oMath>
      <w:r>
        <w:t xml:space="preserve"> </w:t>
      </w:r>
      <w:r>
        <w:t xml:space="preserve">while the plain mean falls to</w:t>
      </w:r>
      <w:r>
        <w:t xml:space="preserve"> </w:t>
      </w:r>
      <m:oMath>
        <m:r>
          <m:t>0.16</m:t>
        </m:r>
      </m:oMath>
      <w:r>
        <w:t xml:space="preserve">, because independent noise never forms a</w:t>
      </w:r>
      <w:r>
        <w:t xml:space="preserve"> </w:t>
      </w:r>
      <w:r>
        <w:t xml:space="preserve">consensus to agree with. It fails only when a</w:t>
      </w:r>
      <w:r>
        <w:t xml:space="preserve"> </w:t>
      </w:r>
      <w:r>
        <w:rPr>
          <w:i/>
          <w:iCs/>
        </w:rPr>
        <w:t xml:space="preserve">correlated</w:t>
      </w:r>
      <w:r>
        <w:t xml:space="preserve"> </w:t>
      </w:r>
      <w:r>
        <w:t xml:space="preserve">coalition of bad judges, all sharing one</w:t>
      </w:r>
      <w:r>
        <w:t xml:space="preserve"> </w:t>
      </w:r>
      <w:r>
        <w:t xml:space="preserve">systematic error,</w:t>
      </w:r>
      <w:r>
        <w:t xml:space="preserve"> </w:t>
      </w:r>
      <w:r>
        <w:rPr>
          <w:i/>
          <w:iCs/>
        </w:rPr>
        <w:t xml:space="preserve">outnumbers</w:t>
      </w:r>
      <w:r>
        <w:t xml:space="preserve"> </w:t>
      </w:r>
      <w:r>
        <w:t xml:space="preserve">the competent judges: once five such judges face four good ones the coalition</w:t>
      </w:r>
      <w:r>
        <w:t xml:space="preserve"> </w:t>
      </w:r>
      <w:r>
        <w:t xml:space="preserve">becomes the apparent consensus, takes all the weight, and the recovered ranking inverts. Peer-agreement weighting is</w:t>
      </w:r>
      <w:r>
        <w:t xml:space="preserve"> </w:t>
      </w:r>
      <w:r>
        <w:t xml:space="preserve">therefore only as safe as the independence of judge errors, and</w:t>
      </w:r>
      <w:r>
        <w:t xml:space="preserve"> </w:t>
      </w:r>
      <w:r>
        <w:rPr>
          <w:i/>
          <w:iCs/>
        </w:rPr>
        <w:t xml:space="preserve">vendor diversity is what supplies that</w:t>
      </w:r>
      <w:r>
        <w:rPr>
          <w:i/>
          <w:iCs/>
        </w:rPr>
        <w:t xml:space="preserve"> </w:t>
      </w:r>
      <w:r>
        <w:rPr>
          <w:i/>
          <w:iCs/>
        </w:rPr>
        <w:t xml:space="preserve">independence</w:t>
      </w:r>
      <w:r>
        <w:t xml:space="preserve">: judges from distinct model families are unlikely to share a bias coalition. The robustness of the</w:t>
      </w:r>
      <w:r>
        <w:t xml:space="preserve"> </w:t>
      </w:r>
      <w:r>
        <w:t xml:space="preserve">aggregator and the cross-family composition principle are two sides of one design.</w:t>
      </w:r>
    </w:p>
    <w:p>
      <w:pPr>
        <w:pStyle w:val="BodyText"/>
        <w:jc w:val="both"/>
        <w:keepNext w:val="0"/>
        <w:keepLines w:val="0"/>
        <w:widowControl w:val="1"/>
      </w:pPr>
      <w:r>
        <w:t xml:space="preserve">The panel's two label-free quality signals, item discriminative power and judge agreement, compose into the</w:t>
      </w:r>
      <w:r>
        <w:t xml:space="preserve"> </w:t>
      </w:r>
      <w:r>
        <w:rPr>
          <w:i/>
          <w:iCs/>
        </w:rPr>
        <w:t xml:space="preserve">doubly-robust ranking</w:t>
      </w:r>
      <w:r>
        <w:t xml:space="preserve"> </w:t>
      </w:r>
      <w:r>
        <w:t xml:space="preserve">of Section 3.3, which leans on the items that separate models (Section 5.6)</w:t>
      </w:r>
      <w:r>
        <w:t xml:space="preserve"> </w:t>
      </w:r>
      <w:r>
        <w:t xml:space="preserve">and the judges that agree with the panel. On a benchmark-grounded check where gold accuracy is available (thirteen</w:t>
      </w:r>
      <w:r>
        <w:t xml:space="preserve"> </w:t>
      </w:r>
      <w:r>
        <w:t xml:space="preserve">models ranked on science QA and reasoning, spanning</w:t>
      </w:r>
      <w:r>
        <w:t xml:space="preserve"> </w:t>
      </w:r>
      <w:r>
        <w:rPr>
          <w:rStyle w:val="VerbatimChar"/>
        </w:rPr>
        <w:t xml:space="preserve">gpt-4o</w:t>
      </w:r>
      <w:r>
        <w:t xml:space="preserve"> </w:t>
      </w:r>
      <w:r>
        <w:t xml:space="preserve">down to</w:t>
      </w:r>
      <w:r>
        <w:t xml:space="preserve"> </w:t>
      </w:r>
      <w:r>
        <w:rPr>
          <w:rStyle w:val="VerbatimChar"/>
        </w:rPr>
        <w:t xml:space="preserve">llama-3.2-1b</w:t>
      </w:r>
      <w:r>
        <w:t xml:space="preserve">), it improves</w:t>
      </w:r>
      <w:r>
        <w:t xml:space="preserve"> </w:t>
      </w:r>
      <w:r>
        <w:t xml:space="preserve">rank-recovery of the true model ordering from the plain mean's Spearman</w:t>
      </w:r>
      <w:r>
        <w:t xml:space="preserve"> </w:t>
      </w:r>
      <m:oMath>
        <m:r>
          <m:t>0.88</m:t>
        </m:r>
      </m:oMath>
      <w:r>
        <w:t xml:space="preserve"> </w:t>
      </w:r>
      <w:r>
        <w:t xml:space="preserve">(Kendall</w:t>
      </w:r>
      <w:r>
        <w:t xml:space="preserve"> </w:t>
      </w:r>
      <m:oMath>
        <m:r>
          <m:t>0.76</m:t>
        </m:r>
      </m:oMath>
      <w:r>
        <w:t xml:space="preserve">) to</w:t>
      </w:r>
      <w:r>
        <w:t xml:space="preserve"> </w:t>
      </w:r>
      <m:oMath>
        <m:r>
          <m:t>0.95</m:t>
        </m:r>
      </m:oMath>
      <w:r>
        <w:t xml:space="preserve"> </w:t>
      </w:r>
      <w:r>
        <w:t xml:space="preserve">(Kendall</w:t>
      </w:r>
      <w:r>
        <w:t xml:space="preserve"> </w:t>
      </w:r>
      <m:oMath>
        <m:r>
          <m:t>0.87</m:t>
        </m:r>
      </m:oMath>
      <w:r>
        <w:t xml:space="preserve">), by down-weighting saturated items that carry no ranking signal (nearly half</w:t>
      </w:r>
      <w:r>
        <w:t xml:space="preserve"> </w:t>
      </w:r>
      <w:r>
        <w:t xml:space="preserve">the items hold near-zero weight) and judges that disagree with the panel. The two signals are complementary, each</w:t>
      </w:r>
      <w:r>
        <w:t xml:space="preserve"> </w:t>
      </w:r>
      <w:r>
        <w:t xml:space="preserve">helping on its own (item-weighting alone</w:t>
      </w:r>
      <w:r>
        <w:t xml:space="preserve"> </w:t>
      </w:r>
      <m:oMath>
        <m:r>
          <m:t>0.94</m:t>
        </m:r>
      </m:oMath>
      <w:r>
        <w:t xml:space="preserve">, judge-weighting alone</w:t>
      </w:r>
      <w:r>
        <w:t xml:space="preserve"> </w:t>
      </w:r>
      <m:oMath>
        <m:r>
          <m:t>0.92</m:t>
        </m:r>
      </m:oMath>
      <w:r>
        <w:t xml:space="preserve">) and most on the discriminative items</w:t>
      </w:r>
      <w:r>
        <w:t xml:space="preserve"> </w:t>
      </w:r>
      <w:r>
        <w:t xml:space="preserve">where judge reliability matters. The aggregator is robust: injecting a random judge degrades the plain mean to</w:t>
      </w:r>
      <w:r>
        <w:t xml:space="preserve"> </w:t>
      </w:r>
      <m:oMath>
        <m:r>
          <m:t>0.85</m:t>
        </m:r>
      </m:oMath>
      <w:r>
        <w:t xml:space="preserve"> </w:t>
      </w:r>
      <w:r>
        <w:t xml:space="preserve">but leaves the doubly-robust ranking at</w:t>
      </w:r>
      <w:r>
        <w:t xml:space="preserve"> </w:t>
      </w:r>
      <m:oMath>
        <m:r>
          <m:t>0.95</m:t>
        </m:r>
      </m:oMath>
      <w:r>
        <w:t xml:space="preserve">, the rogue judge receiving weight</w:t>
      </w:r>
      <w:r>
        <w:t xml:space="preserve"> </w:t>
      </w:r>
      <m:oMath>
        <m:r>
          <m:t>0.00</m:t>
        </m:r>
      </m:oMath>
      <w:r>
        <w:t xml:space="preserve"> </w:t>
      </w:r>
      <w:r>
        <w:t xml:space="preserve">(Table 4).</w:t>
      </w:r>
    </w:p>
    <w:p>
      <w:pPr>
        <w:pStyle w:val="TableCaption"/>
        <w:spacing w:before="280" w:after="60" w:line="240" w:lineRule="auto"/>
        <w:jc w:val="center"/>
        <w:keepNext/>
        <w:keepLines/>
        <w:widowControl w:val="1"/>
      </w:pPr>
      <w:r>
        <w:rPr>
          <w:b/>
          <w:i/>
        </w:rPr>
        <w:t>Table 4.</w:t>
      </w:r>
      <w:r>
        <w:rPr>
          <w:b w:val="0"/>
          <w:i/>
        </w:rPr>
        <w:t xml:space="preserve"> </w:t>
      </w:r>
      <w:r>
        <w:rPr>
          <w:b w:val="0"/>
          <w:i/>
        </w:rPr>
        <w:t>Doubly-robust rank-recovery on thirteen candidate models (science QA and reasoning; gold = benchmark-native accuracy). Each label-free weight helps on its own, and the two compose into the best recovery; the aggregator is robust to an injected random judge, which it gives weight 0.00. Values are the Spearman and Kendall correlations between the recovered ranking and the gold-accuracy ranking.</w:t>
      </w:r>
    </w:p>
    <w:tbl>
      <w:tblPr>
        <w:tblStyle w:val="Table"/>
        <w:tblW w:type="pct" w:w="5000"/>
        <w:jc w:val="center"/>
        <w:tblLook w:firstRow="1" w:lastRow="0" w:firstColumn="0" w:lastColumn="0" w:noHBand="0" w:noVBand="0" w:val="0020"/>
        <w:tblCaption w:val="Table 4. Doubly-robust rank-recovery on thirteen candidate models (science QA and reasoning; gold = benchmark-native accuracy). Each label-free weight helps on its own, and the two compose into the best recovery; the aggregator is robust to an injected random judge, which it gives weight 0.00. Values are the Spearman and Kendall correlations between the recovered ranking and the gold-accuracy rank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Aggregator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Spearman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Kendall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Plain mean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Item-weighted (discrimination)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Judge-weighted (agreement)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Doubly-robust (both)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with injected random judge: plain mean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  with injected random judge: doubly-robust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0.87</w:t>
            </w:r>
          </w:p>
        </w:tc>
      </w:tr>
    </w:tbl>
    <w:bookmarkEnd w:id="31"/>
    <w:bookmarkStart w:id="35"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the tendency to reward longer responses,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 assemble judges whose idiosyncratic biases are unlikely to align, 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pStyle w:val="TableCaption"/>
        <w:spacing w:before="280" w:after="60" w:line="240" w:lineRule="auto"/>
        <w:jc w:val="center"/>
        <w:keepNext/>
        <w:keepLines/>
        <w:widowControl w:val="1"/>
      </w:pPr>
      <w:r>
        <w:rPr>
          <w:b/>
          <w:i/>
        </w:rPr>
        <w:t>Table 5.</w:t>
      </w:r>
      <w:r>
        <w:rPr>
          <w:b w:val="0"/>
          <w:i/>
        </w:rPr>
        <w:t xml:space="preserve"> </w:t>
      </w:r>
      <w:r>
        <w:rPr>
          <w:b w:val="0"/>
          <w:i/>
        </w:rPr>
        <w:t>Verbosity bias (Pearson r between response length and score) for representative individual judges versus the CoEval ensemble. The ensemble CI includes zero.</w:t>
      </w:r>
    </w:p>
    <w:tbl>
      <w:tblPr>
        <w:tblStyle w:val="Table"/>
        <w:tblW w:type="pct" w:w="5000"/>
        <w:jc w:val="center"/>
        <w:tblLook w:firstRow="1" w:lastRow="0" w:firstColumn="0" w:lastColumn="0" w:noHBand="0" w:noVBand="0" w:val="0020"/>
        <w:tblCaption w:val="Table 5. Verbosity bias (Pearson r between response length and score) for representative individual judges versus the CoEval ensemble. The ensemble CI includes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Length-bias</w:t>
            </w:r>
            <w:r>
              <w:rPr>
                <w:rFonts w:ascii="Georgia" w:hAnsi="Georgia"/>
                <w:b/>
                <w:sz w:val="19"/>
              </w:rPr>
              <w:t xml:space="preserve"> </w:t>
            </w:r>
            <m:oMath>
              <m:r>
                <m:t>r</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95% bootstrap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SmolLM2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Panel mean</w:t>
            </w:r>
            <w:r>
              <w:rPr>
                <w:rFonts w:ascii="Georgia" w:hAnsi="Georgia"/>
                <w:sz w:val="19"/>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0.153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CoEval ensemble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3" name="Picture"/>
            <a:graphic>
              <a:graphicData uri="http://schemas.openxmlformats.org/drawingml/2006/picture">
                <pic:pic>
                  <pic:nvPicPr>
                    <pic:cNvPr descr="figures/f3_verbosity_forest.png" id="34" name="Picture"/>
                    <pic:cNvPicPr>
                      <a:picLocks noChangeArrowheads="1" noChangeAspect="1"/>
                    </pic:cNvPicPr>
                  </pic:nvPicPr>
                  <pic:blipFill>
                    <a:blip r:embed="rId32"/>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Verbosity bias by judge. Each judge's Pearson correlation between response length and score (point) with its 95% bootstrap CI; the ensemble (green) sits at r = +0.010 with a CI spanning zero. Mixed-sign per-judge biases cancel under averaging.</w:t>
      </w:r>
    </w:p>
    <w:bookmarkEnd w:id="35"/>
    <w:bookmarkStart w:id="36"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r>
        <w:t xml:space="preserve">[</w:t>
      </w:r>
      <w:hyperlink w:anchor="r15">
        <w:r>
          <w:rPr>
            <w:rStyle w:val="Hyperlink"/>
          </w:rPr>
          <w:t xml:space="preserve">15</w:t>
        </w:r>
      </w:hyperlink>
      <w:r>
        <w:t xml:space="preserve">] identifies same-model and same-family relatedness as a contamination vector,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Because no judge ever scores its own family, a same-family preference cannot enter the</w:t>
      </w:r>
      <w:r>
        <w:t xml:space="preserve"> </w:t>
      </w:r>
      <w:r>
        <w:t xml:space="preserve">aggregate in the first place, regardless of its magnitude on any individual model.</w:t>
      </w:r>
    </w:p>
    <w:p>
      <w:pPr>
        <w:pStyle w:val="BodyText"/>
        <w:jc w:val="both"/>
        <w:keepNext w:val="0"/>
        <w:keepLines w:val="0"/>
        <w:widowControl w:val="1"/>
      </w:pPr>
      <w:r>
        <w:t xml:space="preserve">We also measure the residual same-family preference directly. The vertical case studies (Section 5.6) include</w:t>
      </w:r>
      <w:r>
        <w:t xml:space="preserve"> </w:t>
      </w:r>
      <w:r>
        <w:rPr>
          <w:rStyle w:val="VerbatimChar"/>
        </w:rPr>
        <w:t xml:space="preserve">gpt-4o-mini</w:t>
      </w:r>
      <w:r>
        <w:t xml:space="preserve"> </w:t>
      </w:r>
      <w:r>
        <w:t xml:space="preserve">as both a judge and a candidate, which lets us isolate self-preference as a</w:t>
      </w:r>
      <w:r>
        <w:t xml:space="preserve"> </w:t>
      </w:r>
      <w:r>
        <w:t xml:space="preserve">difference-in-differences that controls for a judge's overall harshness (how much more the same-family judge favors the</w:t>
      </w:r>
      <w:r>
        <w:t xml:space="preserve"> </w:t>
      </w:r>
      <w:r>
        <w:t xml:space="preserve">in-family candidate over a rival than the cross-family judges do). Across the three verticals the residual effect is</w:t>
      </w:r>
      <w:r>
        <w:t xml:space="preserve"> </w:t>
      </w:r>
      <w:r>
        <w:t xml:space="preserve">small and inconsistent in sign,</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 legal, and</w:t>
      </w:r>
      <w:r>
        <w:t xml:space="preserve"> </w:t>
      </w:r>
      <m:oMath>
        <m:r>
          <m:rPr>
            <m:sty m:val="p"/>
          </m:rPr>
          <m:t>−</m:t>
        </m:r>
        <m:r>
          <m:t>0.04</m:t>
        </m:r>
      </m:oMath>
      <w:r>
        <w:t xml:space="preserve"> </w:t>
      </w:r>
      <w:r>
        <w:t xml:space="preserve">on drug-interaction: in a cross-family panel no systematic self-inflation survives, consistent with vendor diversity</w:t>
      </w:r>
      <w:r>
        <w:t xml:space="preserve"> </w:t>
      </w:r>
      <w:r>
        <w:t xml:space="preserve">already neutralizing it. The structural guarantee makes this robustness automatic rather than incidental: because a</w:t>
      </w:r>
      <w:r>
        <w:t xml:space="preserve"> </w:t>
      </w:r>
      <w:r>
        <w:t xml:space="preserve">model never scores its own family, a same-family preference of any sign or magnitude cannot enter the aggregate.</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3 and 5 leaves</w:t>
      </w:r>
      <w:r>
        <w:t xml:space="preserve"> </w:t>
      </w:r>
      <w:r>
        <w:rPr>
          <w:i/>
          <w:iCs/>
        </w:rPr>
        <w:t xml:space="preserve">every</w:t>
      </w:r>
      <w:r>
        <w:t xml:space="preserve"> </w:t>
      </w:r>
      <w:r>
        <w:t xml:space="preserve">ranking unchanged, with per-model scores shifting by at most</w:t>
      </w:r>
      <w:r>
        <w:t xml:space="preserve"> </w:t>
      </w:r>
      <m:oMath>
        <m:r>
          <m:t>0.016</m:t>
        </m:r>
      </m:oMath>
      <w:r>
        <w:t xml:space="preserve">, 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bookmarkEnd w:id="36"/>
    <w:bookmarkStart w:id="37" w:name="contamination-resistance"/>
    <w:p>
      <w:pPr>
        <w:pStyle w:val="Heading3"/>
        <w:keepNext/>
        <w:keepLines/>
        <w:widowControl w:val="1"/>
      </w:pPr>
      <w:r>
        <w:t xml:space="preserve">5.5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bookmarkEnd w:id="37"/>
    <w:bookmarkStart w:id="38" w:name="putting-it-together-domain-case-studies"/>
    <w:p>
      <w:pPr>
        <w:pStyle w:val="Heading3"/>
        <w:keepNext/>
        <w:keepLines/>
        <w:widowControl w:val="1"/>
      </w:pPr>
      <w:r>
        <w:t xml:space="preserve">5.6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C">
        <w:r>
          <w:rPr>
            <w:rStyle w:val="Hyperlink"/>
          </w:rPr>
          <w:t xml:space="preserve">Appendix C</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6).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BodyText"/>
        <w:jc w:val="both"/>
        <w:keepNext w:val="0"/>
        <w:keepLines w:val="0"/>
        <w:widowControl w:val="1"/>
      </w:pPr>
      <w:r>
        <w:t xml:space="preserve">A ranking is only possible if the items</w:t>
      </w:r>
      <w:r>
        <w:t xml:space="preserve"> </w:t>
      </w:r>
      <w:r>
        <w:rPr>
          <w:i/>
          <w:iCs/>
        </w:rPr>
        <w:t xml:space="preserve">separate</w:t>
      </w:r>
      <w:r>
        <w:t xml:space="preserve"> </w:t>
      </w:r>
      <w:r>
        <w:t xml:space="preserve">the models, the generation-side analog of judge</w:t>
      </w:r>
      <w:r>
        <w:t xml:space="preserve"> </w:t>
      </w:r>
      <w:r>
        <w:t xml:space="preserve">discrimination: a good teacher writes questions on which candidates actually differ. We measure per-item</w:t>
      </w:r>
      <w:r>
        <w:t xml:space="preserve"> </w:t>
      </w:r>
      <w:r>
        <w:t xml:space="preserve">discriminativeness as the spread of candidate-model ensemble scores. Across the</w:t>
      </w:r>
      <w:r>
        <w:t xml:space="preserve"> </w:t>
      </w:r>
      <m:oMath>
        <m:r>
          <m:t>120</m:t>
        </m:r>
      </m:oMath>
      <w:r>
        <w:t xml:space="preserve"> </w:t>
      </w:r>
      <w:r>
        <w:t xml:space="preserve">generated vertical items,</w:t>
      </w:r>
      <w:r>
        <w:t xml:space="preserve"> </w:t>
      </w:r>
      <m:oMath>
        <m:r>
          <m:t>71</m:t>
        </m:r>
        <m:r>
          <m:rPr>
            <m:sty m:val="p"/>
          </m:rPr>
          <m:t>%</m:t>
        </m:r>
      </m:oMath>
      <w:r>
        <w:rPr>
          <w:b/>
          <w:bCs/>
        </w:rPr>
        <w:t xml:space="preserve"> </w:t>
      </w:r>
      <w:r>
        <w:rPr>
          <w:b/>
          <w:bCs/>
        </w:rPr>
        <w:t xml:space="preserve">are discriminative</w:t>
      </w:r>
      <w:r>
        <w:t xml:space="preserve"> </w:t>
      </w:r>
      <w:r>
        <w:t xml:space="preserve">(a score range</w:t>
      </w:r>
      <w:r>
        <w:t xml:space="preserve"> </w:t>
      </w:r>
      <m:oMath>
        <m:r>
          <m:rPr>
            <m:sty m:val="p"/>
          </m:rPr>
          <m:t>≥</m:t>
        </m:r>
        <m:r>
          <m:t>0.15</m:t>
        </m:r>
      </m:oMath>
      <w:r>
        <w:t xml:space="preserve"> </w:t>
      </w:r>
      <w:r>
        <w:t xml:space="preserve">across the three models), with a mean per-item</w:t>
      </w:r>
      <w:r>
        <w:t xml:space="preserve"> </w:t>
      </w:r>
      <w:r>
        <w:t xml:space="preserve">range of</w:t>
      </w:r>
      <w:r>
        <w:t xml:space="preserve"> </w:t>
      </w:r>
      <m:oMath>
        <m:r>
          <m:t>0.33</m:t>
        </m:r>
      </m:oMath>
      <w:r>
        <w:t xml:space="preserve">; on drug-interaction and legal analysis the figure rises to</w:t>
      </w:r>
      <w:r>
        <w:t xml:space="preserve"> </w:t>
      </w:r>
      <m:oMath>
        <m:r>
          <m:t>78</m:t>
        </m:r>
        <m:r>
          <m:rPr>
            <m:sty m:val="p"/>
          </m:rPr>
          <m:t>%</m:t>
        </m:r>
      </m:oMath>
      <w:r>
        <w:t xml:space="preserve"> </w:t>
      </w:r>
      <w:r>
        <w:t xml:space="preserve">and</w:t>
      </w:r>
      <w:r>
        <w:t xml:space="preserve"> </w:t>
      </w:r>
      <m:oMath>
        <m:r>
          <m:t>85</m:t>
        </m:r>
        <m:r>
          <m:rPr>
            <m:sty m:val="p"/>
          </m:rPr>
          <m:t>%</m:t>
        </m:r>
      </m:oMath>
      <w:r>
        <w:t xml:space="preserve">. Where the items do not</w:t>
      </w:r>
      <w:r>
        <w:t xml:space="preserve"> </w:t>
      </w:r>
      <w:r>
        <w:t xml:space="preserve">separate the models they are honest about it: clinical reasoning is only</w:t>
      </w:r>
      <w:r>
        <w:t xml:space="preserve"> </w:t>
      </w:r>
      <m:oMath>
        <m:r>
          <m:t>50</m:t>
        </m:r>
        <m:r>
          <m:rPr>
            <m:sty m:val="p"/>
          </m:rPr>
          <m:t>%</m:t>
        </m:r>
      </m:oMath>
      <w:r>
        <w:t xml:space="preserve"> </w:t>
      </w:r>
      <w:r>
        <w:t xml:space="preserve">discriminative precisely because its</w:t>
      </w:r>
      <w:r>
        <w:t xml:space="preserve"> </w:t>
      </w:r>
      <w:r>
        <w:t xml:space="preserve">two stronger candidates are genuinely close (</w:t>
      </w:r>
      <m:oMath>
        <m:r>
          <m:t>0.873</m:t>
        </m:r>
      </m:oMath>
      <w:r>
        <w:t xml:space="preserve"> </w:t>
      </w:r>
      <w:r>
        <w:t xml:space="preserve">vs</w:t>
      </w:r>
      <w:r>
        <w:t xml:space="preserve"> </w:t>
      </w:r>
      <m:oMath>
        <m:r>
          <m:t>0.864</m:t>
        </m:r>
      </m:oMath>
      <w:r>
        <w:t xml:space="preserve">), so the items reflect a real near-tie rather than</w:t>
      </w:r>
      <w:r>
        <w:t xml:space="preserve"> </w:t>
      </w:r>
      <w:r>
        <w:t xml:space="preserve">manufacturing a gap. This is why the panel yields non-overlapping ranking intervals: the teacher supplies items that</w:t>
      </w:r>
      <w:r>
        <w:t xml:space="preserve"> </w:t>
      </w:r>
      <w:r>
        <w:t xml:space="preserve">carry ranking signal, and a non-discriminative benchmark, on which every model scores alike, could not separate the</w:t>
      </w:r>
      <w:r>
        <w:t xml:space="preserve"> </w:t>
      </w:r>
      <w:r>
        <w:t xml:space="preserve">candidates no matter how reliable the judges are.</w:t>
      </w:r>
    </w:p>
    <w:p>
      <w:pPr>
        <w:pStyle w:val="TableCaption"/>
        <w:spacing w:before="280" w:after="60" w:line="240" w:lineRule="auto"/>
        <w:jc w:val="center"/>
        <w:keepNext/>
        <w:keepLines/>
        <w:widowControl w:val="1"/>
      </w:pPr>
      <w:r>
        <w:rPr>
          <w:b/>
          <w:i/>
        </w:rPr>
        <w:t>Table 6.</w:t>
      </w:r>
      <w:r>
        <w:rPr>
          <w:b w:val="0"/>
          <w:i/>
        </w:rPr>
        <w:t xml:space="preserve"> </w:t>
      </w:r>
      <w:r>
        <w:rPr>
          <w:b w:val="0"/>
          <w:i/>
        </w:rPr>
        <w:t>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6. 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Vertical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CoEval score [95%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Drug–drug interaction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0.770 [0.739, 0.800]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0.682 [0.646, 0.717]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0.497 [0.459, 0.532]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Clinical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0.873 [0.849, 0.895]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0.864 [0.840, 0.885]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0.814 [0.784, 0.844]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Legal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0.982 [0.973, 0.991]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0.740 [0.709, 0.770]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0.709 [0.677, 0.744]</w:t>
            </w:r>
          </w:p>
        </w:tc>
      </w:tr>
    </w:tbl>
    <w:bookmarkEnd w:id="38"/>
    <w:bookmarkStart w:id="39" w:name="X5b909f8979da9f44974797188bca91411bc1d26"/>
    <w:p>
      <w:pPr>
        <w:pStyle w:val="Heading3"/>
        <w:keepNext/>
        <w:keepLines/>
        <w:widowControl w:val="1"/>
      </w:pPr>
      <w:r>
        <w:t xml:space="preserve">5.7 Rankings are domain-specific: why a generic leaderboard misleads</w:t>
      </w:r>
    </w:p>
    <w:p>
      <w:pPr>
        <w:pStyle w:val="FirstParagraph"/>
        <w:jc w:val="both"/>
        <w:keepNext w:val="0"/>
        <w:keepLines w:val="0"/>
        <w:widowControl w:val="1"/>
      </w:pPr>
      <w:r>
        <w:t xml:space="preserve">The case studies above rank models</w:t>
      </w:r>
      <w:r>
        <w:t xml:space="preserve"> </w:t>
      </w:r>
      <w:r>
        <w:rPr>
          <w:i/>
          <w:iCs/>
        </w:rPr>
        <w:t xml:space="preserve">within</w:t>
      </w:r>
      <w:r>
        <w:t xml:space="preserve"> </w:t>
      </w:r>
      <w:r>
        <w:t xml:space="preserve">one domain. The premise of a custom-evaluation tool is that this</w:t>
      </w:r>
      <w:r>
        <w:t xml:space="preserve"> </w:t>
      </w:r>
      <w:r>
        <w:t xml:space="preserve">is necessary: the best model for one domain need not be the best for another, so a single public leaderboard, which</w:t>
      </w:r>
      <w:r>
        <w:t xml:space="preserve"> </w:t>
      </w:r>
      <w:r>
        <w:t xml:space="preserve">pools tasks into one number, can send a practitioner to the wrong model. We test this directly. From four one-line</w:t>
      </w:r>
      <w:r>
        <w:t xml:space="preserve"> </w:t>
      </w:r>
      <w:r>
        <w:t xml:space="preserve">descriptions,</w:t>
      </w:r>
      <w:r>
        <w:t xml:space="preserve"> </w:t>
      </w:r>
      <w:r>
        <w:rPr>
          <w:i/>
          <w:iCs/>
        </w:rPr>
        <w:t xml:space="preserve">math word problems</w:t>
      </w:r>
      <w:r>
        <w:t xml:space="preserve">,</w:t>
      </w:r>
      <w:r>
        <w:t xml:space="preserve"> </w:t>
      </w:r>
      <w:r>
        <w:rPr>
          <w:i/>
          <w:iCs/>
        </w:rPr>
        <w:t xml:space="preserve">code explanation</w:t>
      </w:r>
      <w:r>
        <w:t xml:space="preserve">,</w:t>
      </w:r>
      <w:r>
        <w:t xml:space="preserve"> </w:t>
      </w:r>
      <w:r>
        <w:rPr>
          <w:i/>
          <w:iCs/>
        </w:rPr>
        <w:t xml:space="preserve">clinical reasoning</w:t>
      </w:r>
      <w:r>
        <w:t xml:space="preserve">, and</w:t>
      </w:r>
      <w:r>
        <w:t xml:space="preserve"> </w:t>
      </w:r>
      <w:r>
        <w:rPr>
          <w:i/>
          <w:iCs/>
        </w:rPr>
        <w:t xml:space="preserve">legal</w:t>
      </w:r>
      <w:r>
        <w:rPr>
          <w:i/>
          <w:iCs/>
        </w:rPr>
        <w:t xml:space="preserve"> </w:t>
      </w:r>
      <w:r>
        <w:rPr>
          <w:i/>
          <w:iCs/>
        </w:rPr>
        <w:t xml:space="preserve">analysis</w:t>
      </w:r>
      <w:r>
        <w:t xml:space="preserve">, CoEval generated</w:t>
      </w:r>
      <w:r>
        <w:t xml:space="preserve"> </w:t>
      </w:r>
      <m:oMath>
        <m:r>
          <m:t>25</m:t>
        </m:r>
      </m:oMath>
      <w:r>
        <w:t xml:space="preserve"> </w:t>
      </w:r>
      <w:r>
        <w:t xml:space="preserve">contamination-free items each (</w:t>
      </w:r>
      <m:oMath>
        <m:r>
          <m:t>100</m:t>
        </m:r>
      </m:oMath>
      <w:r>
        <w:t xml:space="preserve"> </w:t>
      </w:r>
      <w:r>
        <w:t xml:space="preserve">items), six candidate models answered them,</w:t>
      </w:r>
      <w:r>
        <w:t xml:space="preserve"> </w:t>
      </w:r>
      <w:r>
        <w:t xml:space="preserve">and the same vendor-disjoint cross-family panel (OpenAI + Anthropic + Google) scored every</w:t>
      </w:r>
      <w:r>
        <w:t xml:space="preserve"> </w:t>
      </w:r>
      <w:r>
        <w:t xml:space="preserve">response:</w:t>
      </w:r>
      <w:r>
        <w:t xml:space="preserve"> </w:t>
      </w:r>
      <m:oMath>
        <m:r>
          <m:t>1</m:t>
        </m:r>
        <m:r>
          <m:rPr>
            <m:sty m:val="p"/>
          </m:rPr>
          <m:t>,</m:t>
        </m:r>
        <m:r>
          <m:t>800</m:t>
        </m:r>
      </m:oMath>
      <w:r>
        <w:t xml:space="preserve"> </w:t>
      </w:r>
      <w:r>
        <w:t xml:space="preserve">evaluations at full coverage, from one configuration file.</w:t>
      </w:r>
    </w:p>
    <w:p>
      <w:pPr>
        <w:pStyle w:val="BodyText"/>
        <w:jc w:val="both"/>
        <w:keepNext w:val="0"/>
        <w:keepLines w:val="0"/>
        <w:widowControl w:val="1"/>
      </w:pPr>
      <w:r>
        <w:t xml:space="preserve">The four per-domain rankings</w:t>
      </w:r>
      <w:r>
        <w:t xml:space="preserve"> </w:t>
      </w:r>
      <w:r>
        <w:rPr>
          <w:b/>
          <w:bCs/>
        </w:rPr>
        <w:t xml:space="preserve">disagree sharply</w:t>
      </w:r>
      <w:r>
        <w:t xml:space="preserve">. Three different models take first place across the four</w:t>
      </w:r>
      <w:r>
        <w:t xml:space="preserve"> </w:t>
      </w:r>
      <w:r>
        <w:t xml:space="preserve">domains, and each winner is stable under a bootstrap over items (</w:t>
      </w:r>
      <m:oMath>
        <m:r>
          <m:t>B</m:t>
        </m:r>
        <m:r>
          <m:rPr>
            <m:sty m:val="p"/>
          </m:rPr>
          <m:t>=</m:t>
        </m:r>
        <m:r>
          <m:t>2000</m:t>
        </m:r>
      </m:oMath>
      <w:r>
        <w:t xml:space="preserve">):</w:t>
      </w:r>
      <w:r>
        <w:t xml:space="preserve"> </w:t>
      </w:r>
      <w:r>
        <w:rPr>
          <w:rStyle w:val="VerbatimChar"/>
        </w:rPr>
        <w:t xml:space="preserve">gpt-4o-mini</w:t>
      </w:r>
      <w:r>
        <w:t xml:space="preserve"> </w:t>
      </w:r>
      <w:r>
        <w:t xml:space="preserve">tops clinical</w:t>
      </w:r>
      <w:r>
        <w:t xml:space="preserve"> </w:t>
      </w:r>
      <w:r>
        <w:t xml:space="preserve">reasoning (top with probability</w:t>
      </w:r>
      <w:r>
        <w:t xml:space="preserve"> </w:t>
      </w:r>
      <m:oMath>
        <m:r>
          <m:t>0.88</m:t>
        </m:r>
      </m:oMath>
      <w:r>
        <w:t xml:space="preserve">) and code explanation (</w:t>
      </w:r>
      <m:oMath>
        <m:r>
          <m:t>0.60</m:t>
        </m:r>
      </m:oMath>
      <w:r>
        <w:t xml:space="preserve">),</w:t>
      </w:r>
      <w:r>
        <w:t xml:space="preserve"> </w:t>
      </w:r>
      <w:r>
        <w:rPr>
          <w:rStyle w:val="VerbatimChar"/>
        </w:rPr>
        <w:t xml:space="preserve">gemini-flash</w:t>
      </w:r>
      <w:r>
        <w:t xml:space="preserve"> </w:t>
      </w:r>
      <w:r>
        <w:t xml:space="preserve">tops legal analysis</w:t>
      </w:r>
      <w:r>
        <w:t xml:space="preserve"> </w:t>
      </w:r>
      <w:r>
        <w:t xml:space="preserve">(</w:t>
      </w:r>
      <m:oMath>
        <m:r>
          <m:t>1.00</m:t>
        </m:r>
      </m:oMath>
      <w:r>
        <w:t xml:space="preserve">), and</w:t>
      </w:r>
      <w:r>
        <w:t xml:space="preserve"> </w:t>
      </w:r>
      <w:r>
        <w:rPr>
          <w:rStyle w:val="VerbatimChar"/>
        </w:rPr>
        <w:t xml:space="preserve">claude-3.5-haiku</w:t>
      </w:r>
      <w:r>
        <w:t xml:space="preserve"> </w:t>
      </w:r>
      <w:r>
        <w:t xml:space="preserve">tops math word problems (</w:t>
      </w:r>
      <m:oMath>
        <m:r>
          <m:t>0.85</m:t>
        </m:r>
      </m:oMath>
      <w:r>
        <w:t xml:space="preserve">). The movement is not confined to the lead:</w:t>
      </w:r>
      <w:r>
        <w:t xml:space="preserve"> </w:t>
      </w:r>
      <w:r>
        <w:rPr>
          <w:rStyle w:val="VerbatimChar"/>
        </w:rPr>
        <w:t xml:space="preserve">gpt-4o-mini</w:t>
      </w:r>
      <w:r>
        <w:t xml:space="preserve"> </w:t>
      </w:r>
      <w:r>
        <w:t xml:space="preserve">falls from first on clinical reasoning to fifth of six on math (where it is top in only</w:t>
      </w:r>
      <w:r>
        <w:t xml:space="preserve"> </w:t>
      </w:r>
      <m:oMath>
        <m:r>
          <m:t>0.001</m:t>
        </m:r>
      </m:oMath>
      <w:r>
        <w:t xml:space="preserve"> </w:t>
      </w:r>
      <w:r>
        <w:t xml:space="preserve">of bootstrap draws), and</w:t>
      </w:r>
      <w:r>
        <w:t xml:space="preserve"> </w:t>
      </w:r>
      <w:r>
        <w:rPr>
          <w:rStyle w:val="VerbatimChar"/>
        </w:rPr>
        <w:t xml:space="preserve">claude-3.5-haiku</w:t>
      </w:r>
      <w:r>
        <w:t xml:space="preserve"> </w:t>
      </w:r>
      <w:r>
        <w:t xml:space="preserve">moves the opposite way, from first on math to fifth on</w:t>
      </w:r>
      <w:r>
        <w:t xml:space="preserve"> </w:t>
      </w:r>
      <w:r>
        <w:t xml:space="preserve">code (Table 7). The mean cross-domain rank agreement is low (Kendall </w:t>
      </w:r>
      <m:oMath>
        <m:r>
          <m:t>τ</m:t>
        </m:r>
        <m:r>
          <m:rPr>
            <m:sty m:val="p"/>
          </m:rPr>
          <m:t>=</m:t>
        </m:r>
        <m:r>
          <m:t>0.19</m:t>
        </m:r>
      </m:oMath>
      <w:r>
        <w:t xml:space="preserve"> </w:t>
      </w:r>
      <w:r>
        <w:t xml:space="preserve">averaged over the six</w:t>
      </w:r>
      <w:r>
        <w:t xml:space="preserve"> </w:t>
      </w:r>
      <w:r>
        <w:t xml:space="preserve">domain pairs); the least-aligned pair, code explanation versus math word problems, has a negative point estimate</w:t>
      </w:r>
      <w:r>
        <w:t xml:space="preserve"> </w:t>
      </w:r>
      <w:r>
        <w:t xml:space="preserve">(</w:t>
      </w:r>
      <m:oMath>
        <m:r>
          <m:t>τ</m:t>
        </m:r>
        <m:r>
          <m:rPr>
            <m:sty m:val="p"/>
          </m:rPr>
          <m:t>=</m:t>
        </m:r>
        <m:r>
          <m:rPr>
            <m:sty m:val="p"/>
          </m:rPr>
          <m:t>−</m:t>
        </m:r>
        <m:r>
          <m:t>0.41</m:t>
        </m:r>
      </m:oMath>
      <w:r>
        <w:t xml:space="preserve">).</w:t>
      </w:r>
    </w:p>
    <w:p>
      <w:pPr>
        <w:pStyle w:val="BodyText"/>
        <w:jc w:val="both"/>
        <w:keepNext w:val="0"/>
        <w:keepLines w:val="0"/>
        <w:widowControl w:val="1"/>
      </w:pPr>
      <w:r>
        <w:t xml:space="preserve">This is exactly the regret a generic leaderboard incurs. Pooling the four domains into one average ranks</w:t>
      </w:r>
      <w:r>
        <w:t xml:space="preserve"> </w:t>
      </w:r>
      <w:r>
        <w:rPr>
          <w:rStyle w:val="VerbatimChar"/>
        </w:rPr>
        <w:t xml:space="preserve">gemini-flash</w:t>
      </w:r>
      <w:r>
        <w:t xml:space="preserve"> </w:t>
      </w:r>
      <w:r>
        <w:t xml:space="preserve">first, but that model is the correct pick for only one of the four domains (legal analysis);</w:t>
      </w:r>
      <w:r>
        <w:t xml:space="preserve"> </w:t>
      </w:r>
      <w:r>
        <w:t xml:space="preserve">on clinical reasoning and code explanation the best model is</w:t>
      </w:r>
      <w:r>
        <w:t xml:space="preserve"> </w:t>
      </w:r>
      <w:r>
        <w:rPr>
          <w:rStyle w:val="VerbatimChar"/>
        </w:rPr>
        <w:t xml:space="preserve">gpt-4o-mini</w:t>
      </w:r>
      <w:r>
        <w:t xml:space="preserve">, and on math it is</w:t>
      </w:r>
      <w:r>
        <w:t xml:space="preserve"> </w:t>
      </w:r>
      <w:r>
        <w:rPr>
          <w:rStyle w:val="VerbatimChar"/>
        </w:rPr>
        <w:t xml:space="preserve">claude-3.5-haiku</w:t>
      </w:r>
      <w:r>
        <w:t xml:space="preserve">, which the pooled board ranks only third. A practitioner who reads the generic</w:t>
      </w:r>
      <w:r>
        <w:t xml:space="preserve"> </w:t>
      </w:r>
      <w:r>
        <w:t xml:space="preserve">leaderboard and deploys its top model is choosing the domain-best model in just one of four cases. CoEval removes the</w:t>
      </w:r>
      <w:r>
        <w:t xml:space="preserve"> </w:t>
      </w:r>
      <w:r>
        <w:t xml:space="preserve">guess: it ranks the candidates on the practitioner's own domain, contamination-free, with no labeled data.</w:t>
      </w:r>
    </w:p>
    <w:p>
      <w:pPr>
        <w:pStyle w:val="TableCaption"/>
        <w:spacing w:before="280" w:after="60" w:line="240" w:lineRule="auto"/>
        <w:jc w:val="center"/>
        <w:keepNext/>
        <w:keepLines/>
        <w:widowControl w:val="1"/>
      </w:pPr>
      <w:r>
        <w:rPr>
          <w:b/>
          <w:i/>
        </w:rPr>
        <w:t>Table 7.</w:t>
      </w:r>
      <w:r>
        <w:rPr>
          <w:b w:val="0"/>
          <w:i/>
        </w:rPr>
        <w:t xml:space="preserve"> </w:t>
      </w:r>
      <w:r>
        <w:rPr>
          <w:b w:val="0"/>
          <w:i/>
        </w:rPr>
        <w:t>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w:t>
      </w:r>
    </w:p>
    <w:tbl>
      <w:tblPr>
        <w:tblStyle w:val="Table"/>
        <w:tblW w:type="pct" w:w="5000"/>
        <w:jc w:val="center"/>
        <w:tblLook w:firstRow="1" w:lastRow="0" w:firstColumn="0" w:lastColumn="0" w:noHBand="0" w:noVBand="0" w:val="0020"/>
        <w:tblCaption w:val="Table 7. 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Pooled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Clinical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Code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Legal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Math</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claude-3.5-haiku</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qwen-2.5-7b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llama-3.1-8b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gpt-3.5-turbo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w:t>
            </w:r>
          </w:p>
        </w:tc>
      </w:tr>
    </w:tbl>
    <w:bookmarkEnd w:id="39"/>
    <w:bookmarkEnd w:id="40"/>
    <w:bookmarkStart w:id="41"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and they explain</w:t>
      </w:r>
      <w:r>
        <w:t xml:space="preserve"> </w:t>
      </w:r>
      <w:r>
        <w:rPr>
          <w:i/>
          <w:iCs/>
        </w:rPr>
        <w:t xml:space="preserve">why</w:t>
      </w:r>
      <w:r>
        <w:t xml:space="preserve"> </w:t>
      </w:r>
      <w:r>
        <w:t xml:space="preserve">the label-free judging is trustworthy.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p>
      <w:pPr>
        <w:pStyle w:val="BodyText"/>
        <w:jc w:val="both"/>
        <w:keepNext w:val="0"/>
        <w:keepLines w:val="0"/>
        <w:widowControl w:val="1"/>
      </w:pPr>
      <w:r>
        <w:rPr>
          <w:b/>
          <w:bCs/>
        </w:rPr>
        <w:t xml:space="preserve">Scope and limitations.</w:t>
      </w:r>
      <w:r>
        <w:t xml:space="preserve"> </w:t>
      </w:r>
      <w:r>
        <w:t xml:space="preserve">Our ground-truth validation of the ranking operation uses objective</w:t>
      </w:r>
      <w:r>
        <w:t xml:space="preserve"> </w:t>
      </w:r>
      <w:r>
        <w:t xml:space="preserve">exact-match QA, where labels exist; on subjective custom domains (Section 5.6) we rely on the cross-family</w:t>
      </w:r>
      <w:r>
        <w:t xml:space="preserve"> </w:t>
      </w:r>
      <w:r>
        <w:t xml:space="preserve">ensemble and report intervals rather than a held-out gold ranking, because by assumption none exists. We study up to</w:t>
      </w:r>
      <w:r>
        <w:t xml:space="preserve"> </w:t>
      </w:r>
      <w:r>
        <w:t xml:space="preserve">thirteen candidate models across four exact-match QA tasks, three custom verticals, a four-domain divergence study</w:t>
      </w:r>
      <w:r>
        <w:t xml:space="preserve"> </w:t>
      </w:r>
      <w:r>
        <w:t xml:space="preserve">(Section 5.7), and a thirteen-model rank-recovery check (Section 5.2); broader model pools and additional</w:t>
      </w:r>
      <w:r>
        <w:t xml:space="preserve"> </w:t>
      </w:r>
      <w:r>
        <w:t xml:space="preserve">domains would further test generality. The contamination guarantee is structural (fresh per-run synthesis), validated both by zero verbatim</w:t>
      </w:r>
      <w:r>
        <w:t xml:space="preserve"> </w:t>
      </w:r>
      <w:r>
        <w:t xml:space="preserve">overlap and by a controlled memorization study (Section 5.5); a verbatim n-gram test is not a membership test</w:t>
      </w:r>
      <w:r>
        <w:t xml:space="preserve"> </w:t>
      </w:r>
      <w:r>
        <w:t xml:space="preserve">against any model's full pretraining corpus.</w:t>
      </w:r>
    </w:p>
    <w:bookmarkEnd w:id="41"/>
    <w:bookmarkStart w:id="42"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framework for</w:t>
      </w:r>
      <w:r>
        <w:t xml:space="preserve"> </w:t>
      </w:r>
      <w:r>
        <w:rPr>
          <w:i/>
          <w:iCs/>
        </w:rPr>
        <w:t xml:space="preserve">ensemble self-evaluation</w:t>
      </w:r>
      <w:r>
        <w:t xml:space="preserve"> </w:t>
      </w:r>
      <w:r>
        <w:t xml:space="preserve">that ranks language models for a specific application when neither labeled data nor a trustworthy benchmark is available: from a task description alone, a pool of models rotates through all three roles, teacher, student, and judge, to generate a fresh, contamination-resistant benchmark, answer it, and rank the candidates, jointly weighting questions by discriminative power and judges by consensus, with no human annotation. Because every model also answers as a student, the same responses supply the data for both label-free weights.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 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the same weighting down-weights non-discriminative</w:t>
      </w:r>
      <w:r>
        <w:t xml:space="preserve"> </w:t>
      </w:r>
      <w:r>
        <w:t xml:space="preserve">challenges, so saturated questions carry no spurious ranking signal. Because model rankings are</w:t>
      </w:r>
      <w:r>
        <w:t xml:space="preserve"> </w:t>
      </w:r>
      <w:r>
        <w:rPr>
          <w:i/>
          <w:iCs/>
        </w:rPr>
        <w:t xml:space="preserve">domain-specific</w:t>
      </w:r>
      <w:r>
        <w:t xml:space="preserve"> </w:t>
      </w:r>
      <w:r>
        <w:t xml:space="preserve">(three different models top four de-novo domains, so a generic leaderboard misdirects most</w:t>
      </w:r>
      <w:r>
        <w:t xml:space="preserve"> </w:t>
      </w:r>
      <w:r>
        <w:t xml:space="preserve">practitioners) and the same declarative pipeline runs unchanged across models and domains, re-running on</w:t>
      </w:r>
      <w:r>
        <w:t xml:space="preserve"> </w:t>
      </w:r>
      <w:r>
        <w:t xml:space="preserve">every model release, CoEval is a reusable instrument a team points at its own application when neither labeled data nor</w:t>
      </w:r>
      <w:r>
        <w:t xml:space="preserve"> </w:t>
      </w:r>
      <w:r>
        <w:t xml:space="preserve">a trustworthy benchmark exists, rather than a single static study. CoEval is open-source and fully reproducible.</w:t>
      </w:r>
    </w:p>
    <w:bookmarkEnd w:id="42"/>
    <w:bookmarkStart w:id="109" w:name="references"/>
    <w:p>
      <w:pPr>
        <w:pStyle w:val="ReferencesHeading"/>
        <w:jc w:val="left"/>
        <w:keepNext/>
        <w:keepLines/>
        <w:widowControl w:val="1"/>
      </w:pPr>
      <w:r>
        <w:t xml:space="preserve">References</w:t>
      </w:r>
    </w:p>
    <w:p>
      <w:pPr>
        <w:pStyle w:val="ReferenceEntry"/>
        <w:numPr>
          <w:ilvl w:val="0"/>
          <w:numId w:val="1002"/>
        </w:numPr>
        <w:spacing w:after="60"/>
        <w:ind w:left="360" w:hanging="259"/>
        <w:jc w:val="left"/>
        <w:keepNext w:val="0"/>
        <w:keepLines w:val="0"/>
        <w:widowControl w:val="1"/>
      </w:pPr>
      <w:r>
        <w:rPr>
          <w:rFonts w:ascii="Georgia" w:hAnsi="Georgia"/>
          <w:sz w:val="20"/>
        </w:rPr>
        <w:t xml:space="preserve">1. </w:t>
      </w:r>
      <w:bookmarkStart w:id="44"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43">
        <w:r>
          <w:rPr>
            <w:rStyle w:val="Hyperlink"/>
          </w:rPr>
          <w:t xml:space="preserve">arxiv.org/abs/2306.05685</w:t>
        </w:r>
      </w:hyperlink>
      <w:bookmarkEnd w:id="44"/>
    </w:p>
    <w:p>
      <w:pPr>
        <w:pStyle w:val="ReferenceEntry"/>
        <w:numPr>
          <w:ilvl w:val="0"/>
          <w:numId w:val="1002"/>
        </w:numPr>
        <w:spacing w:after="60"/>
        <w:ind w:left="360" w:hanging="259"/>
        <w:jc w:val="left"/>
        <w:keepNext w:val="0"/>
        <w:keepLines w:val="0"/>
        <w:widowControl w:val="1"/>
      </w:pPr>
      <w:r>
        <w:rPr>
          <w:rFonts w:ascii="Georgia" w:hAnsi="Georgia"/>
          <w:sz w:val="20"/>
        </w:rPr>
        <w:t xml:space="preserve">2. </w:t>
      </w:r>
      <w:bookmarkStart w:id="46"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45">
        <w:r>
          <w:rPr>
            <w:rStyle w:val="Hyperlink"/>
          </w:rPr>
          <w:t xml:space="preserve">arxiv.org/abs/2303.16634</w:t>
        </w:r>
      </w:hyperlink>
      <w:bookmarkEnd w:id="46"/>
    </w:p>
    <w:p>
      <w:pPr>
        <w:pStyle w:val="ReferenceEntry"/>
        <w:numPr>
          <w:ilvl w:val="0"/>
          <w:numId w:val="1002"/>
        </w:numPr>
        <w:spacing w:after="60"/>
        <w:ind w:left="360" w:hanging="259"/>
        <w:jc w:val="left"/>
        <w:keepNext w:val="0"/>
        <w:keepLines w:val="0"/>
        <w:widowControl w:val="1"/>
      </w:pPr>
      <w:r>
        <w:rPr>
          <w:rFonts w:ascii="Georgia" w:hAnsi="Georgia"/>
          <w:sz w:val="20"/>
        </w:rPr>
        <w:t xml:space="preserve">3. </w:t>
      </w:r>
      <w:bookmarkStart w:id="48"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47">
        <w:r>
          <w:rPr>
            <w:rStyle w:val="Hyperlink"/>
          </w:rPr>
          <w:t xml:space="preserve">arxiv.org/abs/2405.01535</w:t>
        </w:r>
      </w:hyperlink>
      <w:bookmarkEnd w:id="48"/>
    </w:p>
    <w:p>
      <w:pPr>
        <w:pStyle w:val="ReferenceEntry"/>
        <w:numPr>
          <w:ilvl w:val="0"/>
          <w:numId w:val="1002"/>
        </w:numPr>
        <w:spacing w:after="60"/>
        <w:ind w:left="360" w:hanging="259"/>
        <w:jc w:val="left"/>
        <w:keepNext w:val="0"/>
        <w:keepLines w:val="0"/>
        <w:widowControl w:val="1"/>
      </w:pPr>
      <w:r>
        <w:rPr>
          <w:rFonts w:ascii="Georgia" w:hAnsi="Georgia"/>
          <w:sz w:val="20"/>
        </w:rPr>
        <w:t xml:space="preserve">4. </w:t>
      </w:r>
      <w:bookmarkStart w:id="50"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49">
        <w:r>
          <w:rPr>
            <w:rStyle w:val="Hyperlink"/>
          </w:rPr>
          <w:t xml:space="preserve">arxiv.org/abs/2407.10817</w:t>
        </w:r>
      </w:hyperlink>
      <w:bookmarkEnd w:id="50"/>
    </w:p>
    <w:p>
      <w:pPr>
        <w:pStyle w:val="ReferenceEntry"/>
        <w:numPr>
          <w:ilvl w:val="0"/>
          <w:numId w:val="1002"/>
        </w:numPr>
        <w:spacing w:after="60"/>
        <w:ind w:left="360" w:hanging="259"/>
        <w:jc w:val="left"/>
        <w:keepNext w:val="0"/>
        <w:keepLines w:val="0"/>
        <w:widowControl w:val="1"/>
      </w:pPr>
      <w:r>
        <w:rPr>
          <w:rFonts w:ascii="Georgia" w:hAnsi="Georgia"/>
          <w:sz w:val="20"/>
        </w:rPr>
        <w:t xml:space="preserve">5. </w:t>
      </w:r>
      <w:bookmarkStart w:id="52"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1">
        <w:r>
          <w:rPr>
            <w:rStyle w:val="Hyperlink"/>
          </w:rPr>
          <w:t xml:space="preserve">arxiv.org/abs/2404.18796</w:t>
        </w:r>
      </w:hyperlink>
      <w:bookmarkEnd w:id="52"/>
    </w:p>
    <w:p>
      <w:pPr>
        <w:pStyle w:val="ReferenceEntry"/>
        <w:numPr>
          <w:ilvl w:val="0"/>
          <w:numId w:val="1002"/>
        </w:numPr>
        <w:spacing w:after="60"/>
        <w:ind w:left="360" w:hanging="259"/>
        <w:jc w:val="left"/>
        <w:keepNext w:val="0"/>
        <w:keepLines w:val="0"/>
        <w:widowControl w:val="1"/>
      </w:pPr>
      <w:r>
        <w:rPr>
          <w:rFonts w:ascii="Georgia" w:hAnsi="Georgia"/>
          <w:sz w:val="20"/>
        </w:rPr>
        <w:t xml:space="preserve">6. </w:t>
      </w:r>
      <w:bookmarkStart w:id="54"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53">
        <w:r>
          <w:rPr>
            <w:rStyle w:val="Hyperlink"/>
          </w:rPr>
          <w:t xml:space="preserve">arxiv.org/abs/2410.12784</w:t>
        </w:r>
      </w:hyperlink>
      <w:bookmarkEnd w:id="54"/>
    </w:p>
    <w:p>
      <w:pPr>
        <w:pStyle w:val="ReferenceEntry"/>
        <w:numPr>
          <w:ilvl w:val="0"/>
          <w:numId w:val="1002"/>
        </w:numPr>
        <w:spacing w:after="60"/>
        <w:ind w:left="360" w:hanging="259"/>
        <w:jc w:val="left"/>
        <w:keepNext w:val="0"/>
        <w:keepLines w:val="0"/>
        <w:widowControl w:val="1"/>
      </w:pPr>
      <w:r>
        <w:rPr>
          <w:rFonts w:ascii="Georgia" w:hAnsi="Georgia"/>
          <w:sz w:val="20"/>
        </w:rPr>
        <w:t xml:space="preserve">7. </w:t>
      </w:r>
      <w:bookmarkStart w:id="56"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55">
        <w:r>
          <w:rPr>
            <w:rStyle w:val="Hyperlink"/>
          </w:rPr>
          <w:t xml:space="preserve">arxiv.org/abs/2406.05761</w:t>
        </w:r>
      </w:hyperlink>
      <w:bookmarkEnd w:id="56"/>
    </w:p>
    <w:p>
      <w:pPr>
        <w:pStyle w:val="ReferenceEntry"/>
        <w:numPr>
          <w:ilvl w:val="0"/>
          <w:numId w:val="1002"/>
        </w:numPr>
        <w:spacing w:after="60"/>
        <w:ind w:left="360" w:hanging="259"/>
        <w:jc w:val="left"/>
        <w:keepNext w:val="0"/>
        <w:keepLines w:val="0"/>
        <w:widowControl w:val="1"/>
      </w:pPr>
      <w:r>
        <w:rPr>
          <w:rFonts w:ascii="Georgia" w:hAnsi="Georgia"/>
          <w:sz w:val="20"/>
        </w:rPr>
        <w:t xml:space="preserve">8. </w:t>
      </w:r>
      <w:bookmarkStart w:id="58"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57">
        <w:r>
          <w:rPr>
            <w:rStyle w:val="Hyperlink"/>
          </w:rPr>
          <w:t xml:space="preserve">arxiv.org/abs/2404.04475</w:t>
        </w:r>
      </w:hyperlink>
      <w:bookmarkEnd w:id="58"/>
    </w:p>
    <w:p>
      <w:pPr>
        <w:pStyle w:val="ReferenceEntry"/>
        <w:numPr>
          <w:ilvl w:val="0"/>
          <w:numId w:val="1002"/>
        </w:numPr>
        <w:spacing w:after="60"/>
        <w:ind w:left="360" w:hanging="259"/>
        <w:jc w:val="left"/>
        <w:keepNext w:val="0"/>
        <w:keepLines w:val="0"/>
        <w:widowControl w:val="1"/>
      </w:pPr>
      <w:r>
        <w:rPr>
          <w:rFonts w:ascii="Georgia" w:hAnsi="Georgia"/>
          <w:sz w:val="20"/>
        </w:rPr>
        <w:t xml:space="preserve">9. </w:t>
      </w:r>
      <w:bookmarkStart w:id="60" w:name="r9"/>
      <w:r>
        <w:t xml:space="preserve">Li, X. L., Kazemi, M., et al. (2024).</w:t>
      </w:r>
      <w:r>
        <w:t xml:space="preserve"> </w:t>
      </w:r>
      <w:r>
        <w:rPr>
          <w:i/>
          <w:iCs/>
        </w:rPr>
        <w:t xml:space="preserve">AutoBencher: Towards Declarative Benchmark Construction.</w:t>
      </w:r>
      <w:r>
        <w:t xml:space="preserve"> </w:t>
      </w:r>
      <w:hyperlink r:id="rId59">
        <w:r>
          <w:rPr>
            <w:rStyle w:val="Hyperlink"/>
          </w:rPr>
          <w:t xml:space="preserve">arxiv.org/abs/2407.08351</w:t>
        </w:r>
      </w:hyperlink>
      <w:bookmarkEnd w:id="60"/>
    </w:p>
    <w:p>
      <w:pPr>
        <w:pStyle w:val="ReferenceEntry"/>
        <w:numPr>
          <w:ilvl w:val="0"/>
          <w:numId w:val="1002"/>
        </w:numPr>
        <w:spacing w:after="60"/>
        <w:ind w:left="360" w:hanging="259"/>
        <w:jc w:val="left"/>
        <w:keepNext w:val="0"/>
        <w:keepLines w:val="0"/>
        <w:widowControl w:val="1"/>
      </w:pPr>
      <w:r>
        <w:rPr>
          <w:rFonts w:ascii="Georgia" w:hAnsi="Georgia"/>
          <w:sz w:val="20"/>
        </w:rPr>
        <w:t xml:space="preserve">10. </w:t>
      </w:r>
      <w:bookmarkStart w:id="62"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1">
        <w:r>
          <w:rPr>
            <w:rStyle w:val="Hyperlink"/>
          </w:rPr>
          <w:t xml:space="preserve">arxiv.org/abs/2410.22584</w:t>
        </w:r>
      </w:hyperlink>
      <w:bookmarkEnd w:id="62"/>
    </w:p>
    <w:p>
      <w:pPr>
        <w:pStyle w:val="ReferenceEntry"/>
        <w:numPr>
          <w:ilvl w:val="0"/>
          <w:numId w:val="1002"/>
        </w:numPr>
        <w:spacing w:after="60"/>
        <w:ind w:left="360" w:hanging="259"/>
        <w:jc w:val="left"/>
        <w:keepNext w:val="0"/>
        <w:keepLines w:val="0"/>
        <w:widowControl w:val="1"/>
      </w:pPr>
      <w:r>
        <w:rPr>
          <w:rFonts w:ascii="Georgia" w:hAnsi="Georgia"/>
          <w:sz w:val="20"/>
        </w:rPr>
        <w:t xml:space="preserve">11. </w:t>
      </w:r>
      <w:bookmarkStart w:id="64" w:name="r11"/>
      <w:r>
        <w:t xml:space="preserve">Shashidhar, S., et al. (2025).</w:t>
      </w:r>
      <w:r>
        <w:t xml:space="preserve"> </w:t>
      </w:r>
      <w:r>
        <w:rPr>
          <w:i/>
          <w:iCs/>
        </w:rPr>
        <w:t xml:space="preserve">YourBench: Easy Custom Evaluation Sets for Everyone.</w:t>
      </w:r>
      <w:r>
        <w:t xml:space="preserve"> </w:t>
      </w:r>
      <w:hyperlink r:id="rId63">
        <w:r>
          <w:rPr>
            <w:rStyle w:val="Hyperlink"/>
          </w:rPr>
          <w:t xml:space="preserve">arxiv.org/abs/2504.01833</w:t>
        </w:r>
      </w:hyperlink>
      <w:bookmarkEnd w:id="64"/>
    </w:p>
    <w:p>
      <w:pPr>
        <w:pStyle w:val="ReferenceEntry"/>
        <w:numPr>
          <w:ilvl w:val="0"/>
          <w:numId w:val="1002"/>
        </w:numPr>
        <w:spacing w:after="60"/>
        <w:ind w:left="360" w:hanging="259"/>
        <w:jc w:val="left"/>
        <w:keepNext w:val="0"/>
        <w:keepLines w:val="0"/>
        <w:widowControl w:val="1"/>
      </w:pPr>
      <w:r>
        <w:rPr>
          <w:rFonts w:ascii="Georgia" w:hAnsi="Georgia"/>
          <w:sz w:val="20"/>
        </w:rPr>
        <w:t xml:space="preserve">12. </w:t>
      </w:r>
      <w:bookmarkStart w:id="66"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65">
        <w:r>
          <w:rPr>
            <w:rStyle w:val="Hyperlink"/>
          </w:rPr>
          <w:t xml:space="preserve">arxiv.org/abs/2405.00332</w:t>
        </w:r>
      </w:hyperlink>
      <w:bookmarkEnd w:id="66"/>
    </w:p>
    <w:p>
      <w:pPr>
        <w:pStyle w:val="ReferenceEntry"/>
        <w:numPr>
          <w:ilvl w:val="0"/>
          <w:numId w:val="1002"/>
        </w:numPr>
        <w:spacing w:after="60"/>
        <w:ind w:left="360" w:hanging="259"/>
        <w:jc w:val="left"/>
        <w:keepNext w:val="0"/>
        <w:keepLines w:val="0"/>
        <w:widowControl w:val="1"/>
      </w:pPr>
      <w:r>
        <w:rPr>
          <w:rFonts w:ascii="Georgia" w:hAnsi="Georgia"/>
          <w:sz w:val="20"/>
        </w:rPr>
        <w:t xml:space="preserve">13. </w:t>
      </w:r>
      <w:bookmarkStart w:id="68" w:name="r13"/>
      <w:r>
        <w:t xml:space="preserve">Xu, C., et al. (2025).</w:t>
      </w:r>
      <w:r>
        <w:t xml:space="preserve"> </w:t>
      </w:r>
      <w:r>
        <w:rPr>
          <w:i/>
          <w:iCs/>
        </w:rPr>
        <w:t xml:space="preserve">Benchmark Data Contamination of Large Language Models: A Survey.</w:t>
      </w:r>
      <w:r>
        <w:t xml:space="preserve"> </w:t>
      </w:r>
      <w:hyperlink r:id="rId67">
        <w:r>
          <w:rPr>
            <w:rStyle w:val="Hyperlink"/>
          </w:rPr>
          <w:t xml:space="preserve">arxiv.org/abs/2502.14425</w:t>
        </w:r>
      </w:hyperlink>
      <w:bookmarkEnd w:id="68"/>
    </w:p>
    <w:p>
      <w:pPr>
        <w:pStyle w:val="ReferenceEntry"/>
        <w:numPr>
          <w:ilvl w:val="0"/>
          <w:numId w:val="1002"/>
        </w:numPr>
        <w:spacing w:after="60"/>
        <w:ind w:left="360" w:hanging="259"/>
        <w:jc w:val="left"/>
        <w:keepNext w:val="0"/>
        <w:keepLines w:val="0"/>
        <w:widowControl w:val="1"/>
      </w:pPr>
      <w:r>
        <w:rPr>
          <w:rFonts w:ascii="Georgia" w:hAnsi="Georgia"/>
          <w:sz w:val="20"/>
        </w:rPr>
        <w:t xml:space="preserve">14. </w:t>
      </w:r>
      <w:bookmarkStart w:id="70"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69">
        <w:r>
          <w:rPr>
            <w:rStyle w:val="Hyperlink"/>
          </w:rPr>
          <w:t xml:space="preserve">arxiv.org/abs/2104.14337</w:t>
        </w:r>
      </w:hyperlink>
      <w:bookmarkEnd w:id="70"/>
    </w:p>
    <w:p>
      <w:pPr>
        <w:pStyle w:val="ReferenceEntry"/>
        <w:numPr>
          <w:ilvl w:val="0"/>
          <w:numId w:val="1002"/>
        </w:numPr>
        <w:spacing w:after="60"/>
        <w:ind w:left="360" w:hanging="259"/>
        <w:jc w:val="left"/>
        <w:keepNext w:val="0"/>
        <w:keepLines w:val="0"/>
        <w:widowControl w:val="1"/>
      </w:pPr>
      <w:r>
        <w:rPr>
          <w:rFonts w:ascii="Georgia" w:hAnsi="Georgia"/>
          <w:sz w:val="20"/>
        </w:rPr>
        <w:t xml:space="preserve">15. </w:t>
      </w:r>
      <w:bookmarkStart w:id="72"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1">
        <w:r>
          <w:rPr>
            <w:rStyle w:val="Hyperlink"/>
          </w:rPr>
          <w:t xml:space="preserve">arxiv.org/abs/2502.01534</w:t>
        </w:r>
      </w:hyperlink>
      <w:bookmarkEnd w:id="72"/>
    </w:p>
    <w:p>
      <w:pPr>
        <w:pStyle w:val="ReferenceEntry"/>
        <w:numPr>
          <w:ilvl w:val="0"/>
          <w:numId w:val="1002"/>
        </w:numPr>
        <w:spacing w:after="60"/>
        <w:ind w:left="360" w:hanging="259"/>
        <w:jc w:val="left"/>
        <w:keepNext w:val="0"/>
        <w:keepLines w:val="0"/>
        <w:widowControl w:val="1"/>
      </w:pPr>
      <w:r>
        <w:rPr>
          <w:rFonts w:ascii="Georgia" w:hAnsi="Georgia"/>
          <w:sz w:val="20"/>
        </w:rPr>
        <w:t xml:space="preserve">16. </w:t>
      </w:r>
      <w:bookmarkStart w:id="74"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73">
        <w:r>
          <w:rPr>
            <w:rStyle w:val="Hyperlink"/>
          </w:rPr>
          <w:t xml:space="preserve">arxiv.org/abs/2508.06709</w:t>
        </w:r>
      </w:hyperlink>
      <w:bookmarkEnd w:id="74"/>
    </w:p>
    <w:p>
      <w:pPr>
        <w:pStyle w:val="ReferenceEntry"/>
        <w:numPr>
          <w:ilvl w:val="0"/>
          <w:numId w:val="1002"/>
        </w:numPr>
        <w:spacing w:after="60"/>
        <w:ind w:left="360" w:hanging="259"/>
        <w:jc w:val="left"/>
        <w:keepNext w:val="0"/>
        <w:keepLines w:val="0"/>
        <w:widowControl w:val="1"/>
      </w:pPr>
      <w:r>
        <w:rPr>
          <w:rFonts w:ascii="Georgia" w:hAnsi="Georgia"/>
          <w:sz w:val="20"/>
        </w:rPr>
        <w:t xml:space="preserve">17. </w:t>
      </w:r>
      <w:bookmarkStart w:id="76"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75">
        <w:r>
          <w:rPr>
            <w:rStyle w:val="Hyperlink"/>
          </w:rPr>
          <w:t xml:space="preserve">arxiv.org/abs/2410.02736</w:t>
        </w:r>
      </w:hyperlink>
      <w:bookmarkEnd w:id="76"/>
    </w:p>
    <w:p>
      <w:pPr>
        <w:pStyle w:val="ReferenceEntry"/>
        <w:numPr>
          <w:ilvl w:val="0"/>
          <w:numId w:val="1002"/>
        </w:numPr>
        <w:spacing w:after="60"/>
        <w:ind w:left="360" w:hanging="259"/>
        <w:jc w:val="left"/>
        <w:keepNext w:val="0"/>
        <w:keepLines w:val="0"/>
        <w:widowControl w:val="1"/>
      </w:pPr>
      <w:r>
        <w:rPr>
          <w:rFonts w:ascii="Georgia" w:hAnsi="Georgia"/>
          <w:sz w:val="20"/>
        </w:rPr>
        <w:t xml:space="preserve">18. </w:t>
      </w:r>
      <w:bookmarkStart w:id="78" w:name="r18"/>
      <w:r>
        <w:t xml:space="preserve">Wataoka, K., Takahashi, T., Ri, R. (2024).</w:t>
      </w:r>
      <w:r>
        <w:t xml:space="preserve"> </w:t>
      </w:r>
      <w:r>
        <w:rPr>
          <w:i/>
          <w:iCs/>
        </w:rPr>
        <w:t xml:space="preserve">Self-Preference Bias in LLM-as-a-Judge.</w:t>
      </w:r>
      <w:r>
        <w:t xml:space="preserve"> </w:t>
      </w:r>
      <w:hyperlink r:id="rId77">
        <w:r>
          <w:rPr>
            <w:rStyle w:val="Hyperlink"/>
          </w:rPr>
          <w:t xml:space="preserve">arxiv.org/abs/2410.21819</w:t>
        </w:r>
      </w:hyperlink>
      <w:bookmarkEnd w:id="78"/>
    </w:p>
    <w:p>
      <w:pPr>
        <w:pStyle w:val="ReferenceEntry"/>
        <w:numPr>
          <w:ilvl w:val="0"/>
          <w:numId w:val="1002"/>
        </w:numPr>
        <w:spacing w:after="60"/>
        <w:ind w:left="360" w:hanging="259"/>
        <w:jc w:val="left"/>
        <w:keepNext w:val="0"/>
        <w:keepLines w:val="0"/>
        <w:widowControl w:val="1"/>
      </w:pPr>
      <w:r>
        <w:rPr>
          <w:rFonts w:ascii="Georgia" w:hAnsi="Georgia"/>
          <w:sz w:val="20"/>
        </w:rPr>
        <w:t xml:space="preserve">19. </w:t>
      </w:r>
      <w:bookmarkStart w:id="80" w:name="r19"/>
      <w:r>
        <w:t xml:space="preserve">Gu, J., Jiang, X., Shi, Z., et al. (2024).</w:t>
      </w:r>
      <w:r>
        <w:t xml:space="preserve"> </w:t>
      </w:r>
      <w:r>
        <w:rPr>
          <w:i/>
          <w:iCs/>
        </w:rPr>
        <w:t xml:space="preserve">A Survey on LLM-as-a-Judge.</w:t>
      </w:r>
      <w:r>
        <w:t xml:space="preserve"> </w:t>
      </w:r>
      <w:hyperlink r:id="rId79">
        <w:r>
          <w:rPr>
            <w:rStyle w:val="Hyperlink"/>
          </w:rPr>
          <w:t xml:space="preserve">arxiv.org/abs/2411.15594</w:t>
        </w:r>
      </w:hyperlink>
      <w:bookmarkEnd w:id="80"/>
    </w:p>
    <w:p>
      <w:pPr>
        <w:pStyle w:val="ReferenceEntry"/>
        <w:numPr>
          <w:ilvl w:val="0"/>
          <w:numId w:val="1002"/>
        </w:numPr>
        <w:spacing w:after="60"/>
        <w:ind w:left="360" w:hanging="259"/>
        <w:jc w:val="left"/>
        <w:keepNext w:val="0"/>
        <w:keepLines w:val="0"/>
        <w:widowControl w:val="1"/>
      </w:pPr>
      <w:r>
        <w:rPr>
          <w:rFonts w:ascii="Georgia" w:hAnsi="Georgia"/>
          <w:sz w:val="20"/>
        </w:rPr>
        <w:t xml:space="preserve">20. </w:t>
      </w:r>
      <w:bookmarkStart w:id="82"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1">
        <w:r>
          <w:rPr>
            <w:rStyle w:val="Hyperlink"/>
          </w:rPr>
          <w:t xml:space="preserve">arxiv.org/abs/2411.16594</w:t>
        </w:r>
      </w:hyperlink>
      <w:bookmarkEnd w:id="82"/>
    </w:p>
    <w:p>
      <w:pPr>
        <w:pStyle w:val="ReferenceEntry"/>
        <w:numPr>
          <w:ilvl w:val="0"/>
          <w:numId w:val="1002"/>
        </w:numPr>
        <w:spacing w:after="60"/>
        <w:ind w:left="360" w:hanging="259"/>
        <w:jc w:val="left"/>
        <w:keepNext w:val="0"/>
        <w:keepLines w:val="0"/>
        <w:widowControl w:val="1"/>
      </w:pPr>
      <w:r>
        <w:rPr>
          <w:rFonts w:ascii="Georgia" w:hAnsi="Georgia"/>
          <w:sz w:val="20"/>
        </w:rPr>
        <w:t xml:space="preserve">21. </w:t>
      </w:r>
      <w:bookmarkStart w:id="84"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83">
        <w:r>
          <w:rPr>
            <w:rStyle w:val="Hyperlink"/>
          </w:rPr>
          <w:t xml:space="preserve">arxiv.org/abs/2308.07201</w:t>
        </w:r>
      </w:hyperlink>
      <w:bookmarkEnd w:id="84"/>
    </w:p>
    <w:p>
      <w:pPr>
        <w:pStyle w:val="ReferenceEntry"/>
        <w:numPr>
          <w:ilvl w:val="0"/>
          <w:numId w:val="1002"/>
        </w:numPr>
        <w:spacing w:after="60"/>
        <w:ind w:left="360" w:hanging="259"/>
        <w:jc w:val="left"/>
        <w:keepNext w:val="0"/>
        <w:keepLines w:val="0"/>
        <w:widowControl w:val="1"/>
      </w:pPr>
      <w:r>
        <w:rPr>
          <w:rFonts w:ascii="Georgia" w:hAnsi="Georgia"/>
          <w:sz w:val="20"/>
        </w:rPr>
        <w:t xml:space="preserve">22. </w:t>
      </w:r>
      <w:bookmarkStart w:id="86"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85">
        <w:r>
          <w:rPr>
            <w:rStyle w:val="Hyperlink"/>
          </w:rPr>
          <w:t xml:space="preserve">arxiv.org/abs/2406.19314</w:t>
        </w:r>
      </w:hyperlink>
      <w:bookmarkEnd w:id="86"/>
    </w:p>
    <w:p>
      <w:pPr>
        <w:pStyle w:val="ReferenceEntry"/>
        <w:numPr>
          <w:ilvl w:val="0"/>
          <w:numId w:val="1002"/>
        </w:numPr>
        <w:spacing w:after="60"/>
        <w:ind w:left="360" w:hanging="259"/>
        <w:jc w:val="left"/>
        <w:keepNext w:val="0"/>
        <w:keepLines w:val="0"/>
        <w:widowControl w:val="1"/>
      </w:pPr>
      <w:r>
        <w:rPr>
          <w:rFonts w:ascii="Georgia" w:hAnsi="Georgia"/>
          <w:sz w:val="20"/>
        </w:rPr>
        <w:t xml:space="preserve">23. </w:t>
      </w:r>
      <w:bookmarkStart w:id="88"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87">
        <w:r>
          <w:rPr>
            <w:rStyle w:val="Hyperlink"/>
          </w:rPr>
          <w:t xml:space="preserve">arxiv.org/abs/2403.07974</w:t>
        </w:r>
      </w:hyperlink>
      <w:bookmarkEnd w:id="88"/>
    </w:p>
    <w:p>
      <w:pPr>
        <w:pStyle w:val="ReferenceEntry"/>
        <w:numPr>
          <w:ilvl w:val="0"/>
          <w:numId w:val="1002"/>
        </w:numPr>
        <w:spacing w:after="60"/>
        <w:ind w:left="360" w:hanging="259"/>
        <w:jc w:val="left"/>
        <w:keepNext w:val="0"/>
        <w:keepLines w:val="0"/>
        <w:widowControl w:val="1"/>
      </w:pPr>
      <w:r>
        <w:rPr>
          <w:rFonts w:ascii="Georgia" w:hAnsi="Georgia"/>
          <w:sz w:val="20"/>
        </w:rPr>
        <w:t xml:space="preserve">24. </w:t>
      </w:r>
      <w:bookmarkStart w:id="90"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89">
        <w:r>
          <w:rPr>
            <w:rStyle w:val="Hyperlink"/>
          </w:rPr>
          <w:t xml:space="preserve">arxiv.org/abs/2504.03846</w:t>
        </w:r>
      </w:hyperlink>
      <w:bookmarkEnd w:id="90"/>
    </w:p>
    <w:p>
      <w:pPr>
        <w:pStyle w:val="ReferenceEntry"/>
        <w:numPr>
          <w:ilvl w:val="0"/>
          <w:numId w:val="1002"/>
        </w:numPr>
        <w:spacing w:after="60"/>
        <w:ind w:left="360" w:hanging="259"/>
        <w:jc w:val="left"/>
        <w:keepNext w:val="0"/>
        <w:keepLines w:val="0"/>
        <w:widowControl w:val="1"/>
      </w:pPr>
      <w:r>
        <w:rPr>
          <w:rFonts w:ascii="Georgia" w:hAnsi="Georgia"/>
          <w:sz w:val="20"/>
        </w:rPr>
        <w:t xml:space="preserve">25. </w:t>
      </w:r>
      <w:bookmarkStart w:id="92"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1">
        <w:r>
          <w:rPr>
            <w:rStyle w:val="Hyperlink"/>
          </w:rPr>
          <w:t xml:space="preserve">arxiv.org/abs/2408.08808</w:t>
        </w:r>
      </w:hyperlink>
      <w:bookmarkEnd w:id="92"/>
    </w:p>
    <w:p>
      <w:pPr>
        <w:pStyle w:val="ReferenceEntry"/>
        <w:numPr>
          <w:ilvl w:val="0"/>
          <w:numId w:val="1002"/>
        </w:numPr>
        <w:spacing w:after="60"/>
        <w:ind w:left="360" w:hanging="259"/>
        <w:jc w:val="left"/>
        <w:keepNext w:val="0"/>
        <w:keepLines w:val="0"/>
        <w:widowControl w:val="1"/>
      </w:pPr>
      <w:r>
        <w:rPr>
          <w:rFonts w:ascii="Georgia" w:hAnsi="Georgia"/>
          <w:sz w:val="20"/>
        </w:rPr>
        <w:t xml:space="preserve">26. </w:t>
      </w:r>
      <w:bookmarkStart w:id="94" w:name="r26"/>
      <w:r>
        <w:t xml:space="preserve">Li, Y., et al. (2025).</w:t>
      </w:r>
      <w:r>
        <w:t xml:space="preserve"> </w:t>
      </w:r>
      <w:r>
        <w:rPr>
          <w:i/>
          <w:iCs/>
        </w:rPr>
        <w:t xml:space="preserve">Leveraging LLMs as Meta-Judges: A Multi-Agent Framework.</w:t>
      </w:r>
      <w:r>
        <w:t xml:space="preserve"> </w:t>
      </w:r>
      <w:hyperlink r:id="rId93">
        <w:r>
          <w:rPr>
            <w:rStyle w:val="Hyperlink"/>
          </w:rPr>
          <w:t xml:space="preserve">arxiv.org/abs/2504.17087</w:t>
        </w:r>
      </w:hyperlink>
      <w:bookmarkEnd w:id="94"/>
    </w:p>
    <w:p>
      <w:pPr>
        <w:pStyle w:val="ReferenceEntry"/>
        <w:numPr>
          <w:ilvl w:val="0"/>
          <w:numId w:val="1002"/>
        </w:numPr>
        <w:spacing w:after="60"/>
        <w:ind w:left="360" w:hanging="259"/>
        <w:jc w:val="left"/>
        <w:keepNext w:val="0"/>
        <w:keepLines w:val="0"/>
        <w:widowControl w:val="1"/>
      </w:pPr>
      <w:r>
        <w:rPr>
          <w:rFonts w:ascii="Georgia" w:hAnsi="Georgia"/>
          <w:sz w:val="20"/>
        </w:rPr>
        <w:t xml:space="preserve">27. </w:t>
      </w:r>
      <w:bookmarkStart w:id="96"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95">
        <w:r>
          <w:rPr>
            <w:rStyle w:val="Hyperlink"/>
          </w:rPr>
          <w:t xml:space="preserve">arxiv.org/abs/2602.16610</w:t>
        </w:r>
      </w:hyperlink>
      <w:bookmarkEnd w:id="96"/>
    </w:p>
    <w:p>
      <w:pPr>
        <w:pStyle w:val="ReferenceEntry"/>
        <w:numPr>
          <w:ilvl w:val="0"/>
          <w:numId w:val="1002"/>
        </w:numPr>
        <w:spacing w:after="60"/>
        <w:ind w:left="360" w:hanging="259"/>
        <w:jc w:val="left"/>
        <w:keepNext w:val="0"/>
        <w:keepLines w:val="0"/>
        <w:widowControl w:val="1"/>
      </w:pPr>
      <w:r>
        <w:rPr>
          <w:rFonts w:ascii="Georgia" w:hAnsi="Georgia"/>
          <w:sz w:val="20"/>
        </w:rPr>
        <w:t xml:space="preserve">28. </w:t>
      </w:r>
      <w:bookmarkStart w:id="98"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97">
        <w:r>
          <w:rPr>
            <w:rStyle w:val="Hyperlink"/>
          </w:rPr>
          <w:t xml:space="preserve">arxiv.org/abs/2603.00039</w:t>
        </w:r>
      </w:hyperlink>
      <w:bookmarkEnd w:id="98"/>
    </w:p>
    <w:p>
      <w:pPr>
        <w:pStyle w:val="ReferenceEntry"/>
        <w:numPr>
          <w:ilvl w:val="0"/>
          <w:numId w:val="1002"/>
        </w:numPr>
        <w:spacing w:after="60"/>
        <w:ind w:left="360" w:hanging="259"/>
        <w:jc w:val="left"/>
        <w:keepNext w:val="0"/>
        <w:keepLines w:val="0"/>
        <w:widowControl w:val="1"/>
      </w:pPr>
      <w:r>
        <w:rPr>
          <w:rFonts w:ascii="Georgia" w:hAnsi="Georgia"/>
          <w:sz w:val="20"/>
        </w:rPr>
        <w:t xml:space="preserve">29. </w:t>
      </w:r>
      <w:bookmarkStart w:id="100"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99">
        <w:r>
          <w:rPr>
            <w:rStyle w:val="Hyperlink"/>
          </w:rPr>
          <w:t xml:space="preserve">arxiv.org/abs/2601.21817</w:t>
        </w:r>
      </w:hyperlink>
      <w:bookmarkEnd w:id="100"/>
    </w:p>
    <w:p>
      <w:pPr>
        <w:pStyle w:val="ReferenceEntry"/>
        <w:numPr>
          <w:ilvl w:val="0"/>
          <w:numId w:val="1002"/>
        </w:numPr>
        <w:spacing w:after="60"/>
        <w:ind w:left="360" w:hanging="259"/>
        <w:jc w:val="left"/>
        <w:keepNext w:val="0"/>
        <w:keepLines w:val="0"/>
        <w:widowControl w:val="1"/>
      </w:pPr>
      <w:r>
        <w:rPr>
          <w:rFonts w:ascii="Georgia" w:hAnsi="Georgia"/>
          <w:sz w:val="20"/>
        </w:rPr>
        <w:t xml:space="preserve">30. </w:t>
      </w:r>
      <w:bookmarkStart w:id="102"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101">
        <w:r>
          <w:rPr>
            <w:rStyle w:val="Hyperlink"/>
          </w:rPr>
          <w:t xml:space="preserve">arxiv.org/abs/2502.14678</w:t>
        </w:r>
      </w:hyperlink>
      <w:bookmarkEnd w:id="102"/>
    </w:p>
    <w:p>
      <w:pPr>
        <w:pStyle w:val="ReferenceEntry"/>
        <w:numPr>
          <w:ilvl w:val="0"/>
          <w:numId w:val="1002"/>
        </w:numPr>
        <w:spacing w:after="60"/>
        <w:ind w:left="360" w:hanging="259"/>
        <w:jc w:val="left"/>
        <w:keepNext w:val="0"/>
        <w:keepLines w:val="0"/>
        <w:widowControl w:val="1"/>
      </w:pPr>
      <w:r>
        <w:rPr>
          <w:rFonts w:ascii="Georgia" w:hAnsi="Georgia"/>
          <w:sz w:val="20"/>
        </w:rPr>
        <w:t xml:space="preserve">31. </w:t>
      </w:r>
      <w:bookmarkStart w:id="104"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103">
        <w:r>
          <w:rPr>
            <w:rStyle w:val="Hyperlink"/>
          </w:rPr>
          <w:t xml:space="preserve">arxiv.org/abs/2501.12789</w:t>
        </w:r>
      </w:hyperlink>
      <w:bookmarkEnd w:id="104"/>
    </w:p>
    <w:p>
      <w:pPr>
        <w:pStyle w:val="ReferenceEntry"/>
        <w:numPr>
          <w:ilvl w:val="0"/>
          <w:numId w:val="1002"/>
        </w:numPr>
        <w:spacing w:after="60"/>
        <w:ind w:left="360" w:hanging="259"/>
        <w:jc w:val="left"/>
        <w:keepNext w:val="0"/>
        <w:keepLines w:val="0"/>
        <w:widowControl w:val="1"/>
      </w:pPr>
      <w:r>
        <w:rPr>
          <w:rFonts w:ascii="Georgia" w:hAnsi="Georgia"/>
          <w:sz w:val="20"/>
        </w:rPr>
        <w:t xml:space="preserve">32. </w:t>
      </w:r>
      <w:bookmarkStart w:id="106"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105">
        <w:r>
          <w:rPr>
            <w:rStyle w:val="Hyperlink"/>
          </w:rPr>
          <w:t xml:space="preserve">arxiv.org/abs/2502.17521</w:t>
        </w:r>
      </w:hyperlink>
      <w:bookmarkEnd w:id="106"/>
    </w:p>
    <w:p>
      <w:pPr>
        <w:pStyle w:val="ReferenceEntry"/>
        <w:numPr>
          <w:ilvl w:val="0"/>
          <w:numId w:val="1002"/>
        </w:numPr>
        <w:spacing w:after="60"/>
        <w:ind w:left="360" w:hanging="259"/>
        <w:jc w:val="left"/>
        <w:keepNext w:val="0"/>
        <w:keepLines w:val="0"/>
        <w:widowControl w:val="1"/>
      </w:pPr>
      <w:r>
        <w:rPr>
          <w:rFonts w:ascii="Georgia" w:hAnsi="Georgia"/>
          <w:sz w:val="20"/>
        </w:rPr>
        <w:t xml:space="preserve">33. </w:t>
      </w:r>
      <w:bookmarkStart w:id="108" w:name="r33"/>
      <w:r>
        <w:t xml:space="preserve">Dawid, A. P., Skene, A. M. (1979).</w:t>
      </w:r>
      <w:r>
        <w:t xml:space="preserve"> </w:t>
      </w:r>
      <w:r>
        <w:rPr>
          <w:i/>
          <w:iCs/>
        </w:rPr>
        <w:t xml:space="preserve">Maximum Likelihood Estimation of Observer Error-Rates Using</w:t>
      </w:r>
      <w:r>
        <w:rPr>
          <w:i/>
          <w:iCs/>
        </w:rPr>
        <w:t xml:space="preserve"> </w:t>
      </w:r>
      <w:r>
        <w:rPr>
          <w:i/>
          <w:iCs/>
        </w:rPr>
        <w:t xml:space="preserve">the EM Algorithm.</w:t>
      </w:r>
      <w:r>
        <w:t xml:space="preserve"> </w:t>
      </w:r>
      <w:r>
        <w:t xml:space="preserve">Journal of the Royal Statistical Society: Series C (Applied Statistics), 28(1), 20–28.</w:t>
      </w:r>
      <w:r>
        <w:t xml:space="preserve"> </w:t>
      </w:r>
      <w:hyperlink r:id="rId107">
        <w:r>
          <w:rPr>
            <w:rStyle w:val="Hyperlink"/>
          </w:rPr>
          <w:t xml:space="preserve">doi.org/10.2307/2346806</w:t>
        </w:r>
      </w:hyperlink>
      <w:bookmarkEnd w:id="108"/>
    </w:p>
    <w:bookmarkEnd w:id="109"/>
    <w:bookmarkStart w:id="110"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10"/>
    <w:bookmarkStart w:id="114"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5736336" cy="4998720"/>
            <wp:effectExtent b="0" l="0" r="0" t="0"/>
            <wp:docPr descr="Heatmap of pairwise semantic similarity between auto-generated rubric criteria" title="" id="112" name="Picture"/>
            <a:graphic>
              <a:graphicData uri="http://schemas.openxmlformats.org/drawingml/2006/picture">
                <pic:pic>
                  <pic:nvPicPr>
                    <pic:cNvPr descr="figures/f5_rubric_heatmap.png" id="113" name="Picture"/>
                    <pic:cNvPicPr>
                      <a:picLocks noChangeArrowheads="1" noChangeAspect="1"/>
                    </pic:cNvPicPr>
                  </pic:nvPicPr>
                  <pic:blipFill>
                    <a:blip r:embed="rId111"/>
                    <a:stretch>
                      <a:fillRect/>
                    </a:stretch>
                  </pic:blipFill>
                  <pic:spPr bwMode="auto">
                    <a:xfrm>
                      <a:off x="0" y="0"/>
                      <a:ext cx="5736336" cy="4998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Pairwise semantic similarity of the 22 auto-generated rubric criteria across four tasks. Block structure along the diagonal reflects task specialization (within-task 0.342 &gt; cross-task 0.294), while a recurring “completeness” dimension forms a cross-task cluster.</w:t>
      </w:r>
    </w:p>
    <w:bookmarkEnd w:id="114"/>
    <w:bookmarkStart w:id="115" w:name="appC"/>
    <w:p>
      <w:pPr>
        <w:pStyle w:val="Heading2"/>
        <w:keepNext/>
        <w:keepLines/>
        <w:widowControl w:val="1"/>
      </w:pPr>
      <w:r>
        <w:t xml:space="preserve">Appendix C. Worked examples on data-scarce domains</w:t>
      </w:r>
    </w:p>
    <w:p>
      <w:pPr>
        <w:pStyle w:val="FirstParagraph"/>
        <w:jc w:val="both"/>
        <w:keepNext w:val="0"/>
        <w:keepLines w:val="0"/>
        <w:widowControl w:val="1"/>
      </w:pPr>
      <w:r>
        <w:t xml:space="preserve">The three verticals of Section 5.6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6).</w:t>
      </w:r>
    </w:p>
    <w:p>
      <w:pPr>
        <w:pStyle w:val="BodyText"/>
        <w:jc w:val="both"/>
        <w:keepNext w:val="0"/>
        <w:keepLines w:val="0"/>
        <w:widowControl w:val="1"/>
      </w:pPr>
      <w:r>
        <w:t xml:space="preserve">The pipeline is four templated calls to the teacher, all instantiated from the one-line</w:t>
      </w:r>
      <w:r>
        <w:t xml:space="preserve"> </w:t>
      </w:r>
      <w:r>
        <w:rPr>
          <w:rStyle w:val="VerbatimChar"/>
        </w:rPr>
        <w:t xml:space="preserve">task_description</w:t>
      </w:r>
      <w:r>
        <w:t xml:space="preserve"> </w:t>
      </w:r>
      <w:r>
        <w:t xml:space="preserve">(and an optional</w:t>
      </w:r>
      <w:r>
        <w:t xml:space="preserve"> </w:t>
      </w:r>
      <w:r>
        <w:rPr>
          <w:rStyle w:val="VerbatimChar"/>
        </w:rPr>
        <w:t xml:space="preserve">output_description</w:t>
      </w:r>
      <w:r>
        <w:t xml:space="preserve">). The first two build the attribute</w:t>
      </w:r>
      <w:r>
        <w:t xml:space="preserve"> </w:t>
      </w:r>
      <w:r>
        <w:t xml:space="preserve">space the items are stratified over; the third writes the rubric the panel scores against; the fourth generates one</w:t>
      </w:r>
      <w:r>
        <w:t xml:space="preserve"> </w:t>
      </w:r>
      <w:r>
        <w:t xml:space="preserve">contamination-free item per sampled attribute cell. The templates below are the verbatim framework prompts; a sampled</w:t>
      </w:r>
      <w:r>
        <w:t xml:space="preserve"> </w:t>
      </w:r>
      <w:r>
        <w:t xml:space="preserve">cell such as</w:t>
      </w:r>
      <w:r>
        <w:t xml:space="preserve"> </w:t>
      </w:r>
      <w:r>
        <w:rPr>
          <w:i/>
          <w:iCs/>
        </w:rPr>
        <w:t xml:space="preserve">severity = moderate, mechanism = pharmacokinetic, patient_context = pregnancy</w:t>
      </w:r>
      <w:r>
        <w:t xml:space="preserve"> </w:t>
      </w:r>
      <w:r>
        <w:t xml:space="preserve">is what binds</w:t>
      </w:r>
      <w:r>
        <w:t xml:space="preserve"> </w:t>
      </w:r>
      <w:r>
        <w:rPr>
          <w:rStyle w:val="VerbatimChar"/>
        </w:rPr>
        <w:t xml:space="preserve">{target_attributes}</w:t>
      </w:r>
      <w:r>
        <w:t xml:space="preserve"> </w:t>
      </w:r>
      <w:r>
        <w:t xml:space="preserve">and yields the corresponding DDI item shown after Table C1.</w:t>
      </w:r>
    </w:p>
    <w:p>
      <w:pPr>
        <w:pStyle w:val="BodyText"/>
        <w:jc w:val="both"/>
        <w:keepNext w:val="0"/>
        <w:keepLines w:val="0"/>
        <w:widowControl w:val="1"/>
      </w:pPr>
      <w:r>
        <w:rPr>
          <w:b/>
          <w:bCs/>
        </w:rPr>
        <w:t xml:space="preserve">(1) Target-attribute map.</w:t>
      </w:r>
      <w:r>
        <w:t xml:space="preserve"> </w:t>
      </w:r>
      <w:r>
        <w:t xml:space="preserve">Define the axes the benchmark varies over.</w:t>
      </w:r>
    </w:p>
    <w:p>
      <w:pPr>
        <w:pStyle w:val="BodyText"/>
        <w:jc w:val="both"/>
        <w:keepNext w:val="0"/>
        <w:keepLines w:val="0"/>
        <w:widowControl w:val="1"/>
      </w:pPr>
      <w:r>
        <w:rPr>
          <w:rStyle w:val="VerbatimChar"/>
        </w:rPr>
        <w:t xml:space="preserve">Generate synthetic data specifications for the {task_description} task by defining an</w:t>
      </w:r>
      <w:r>
        <w:br/>
      </w:r>
      <w:r>
        <w:rPr>
          <w:rStyle w:val="VerbatimChar"/>
        </w:rPr>
        <w:t xml:space="preserve">attribute space that characterizes possible outputs. Return a JSON object mapping each</w:t>
      </w:r>
      <w:r>
        <w:br/>
      </w:r>
      <w:r>
        <w:rPr>
          <w:rStyle w:val="VerbatimChar"/>
        </w:rPr>
        <w:t xml:space="preserve">attribute name to a list of possible values, and output only the JSON.</w:t>
      </w:r>
    </w:p>
    <w:p>
      <w:pPr>
        <w:pStyle w:val="FirstParagraph"/>
        <w:jc w:val="both"/>
        <w:keepNext w:val="0"/>
        <w:keepLines w:val="0"/>
        <w:widowControl w:val="1"/>
      </w:pPr>
      <w:r>
        <w:rPr>
          <w:b/>
          <w:bCs/>
        </w:rPr>
        <w:t xml:space="preserve">(2) Nuance map.</w:t>
      </w:r>
      <w:r>
        <w:t xml:space="preserve"> </w:t>
      </w:r>
      <w:r>
        <w:t xml:space="preserve">Add surface-variation axes that change phrasing without changing the answer.</w:t>
      </w:r>
    </w:p>
    <w:p>
      <w:pPr>
        <w:pStyle w:val="BodyText"/>
        <w:jc w:val="both"/>
        <w:keepNext w:val="0"/>
        <w:keepLines w:val="0"/>
        <w:widowControl w:val="1"/>
      </w:pPr>
      <w:r>
        <w:rPr>
          <w:rStyle w:val="VerbatimChar"/>
        </w:rPr>
        <w:t xml:space="preserve">Define synthetic data specifications for the {task_description} task by creating a nuanced</w:t>
      </w:r>
      <w:r>
        <w:br/>
      </w:r>
      <w:r>
        <w:rPr>
          <w:rStyle w:val="VerbatimChar"/>
        </w:rPr>
        <w:t xml:space="preserve">variability-focused attribute space. Include only attributes that change document phrasing,</w:t>
      </w:r>
      <w:r>
        <w:br/>
      </w:r>
      <w:r>
        <w:rPr>
          <w:rStyle w:val="VerbatimChar"/>
        </w:rPr>
        <w:t xml:space="preserve">structure, noise, and context, without changing the underlying outputs. Return a single JSON</w:t>
      </w:r>
      <w:r>
        <w:br/>
      </w:r>
      <w:r>
        <w:rPr>
          <w:rStyle w:val="VerbatimChar"/>
        </w:rPr>
        <w:t xml:space="preserve">object mapping each attribute name to a list of allowed values, and output only the JSON.</w:t>
      </w:r>
    </w:p>
    <w:p>
      <w:pPr>
        <w:pStyle w:val="FirstParagraph"/>
        <w:jc w:val="both"/>
        <w:keepNext w:val="0"/>
        <w:keepLines w:val="0"/>
        <w:widowControl w:val="1"/>
      </w:pPr>
      <w:r>
        <w:rPr>
          <w:b/>
          <w:bCs/>
        </w:rPr>
        <w:t xml:space="preserve">(3) Auto-rubric.</w:t>
      </w:r>
      <w:r>
        <w:t xml:space="preserve"> </w:t>
      </w:r>
      <w:r>
        <w:t xml:space="preserve">Write the task-specific scoring factors the judges apply.</w:t>
      </w:r>
    </w:p>
    <w:p>
      <w:pPr>
        <w:pStyle w:val="BodyText"/>
        <w:jc w:val="both"/>
        <w:keepNext w:val="0"/>
        <w:keepLines w:val="0"/>
        <w:widowControl w:val="1"/>
      </w:pPr>
      <w:r>
        <w:rPr>
          <w:rStyle w:val="VerbatimChar"/>
        </w:rPr>
        <w:t xml:space="preserve">For the task {task_description}, where the model's output is {output_description}, create an</w:t>
      </w:r>
      <w:r>
        <w:br/>
      </w:r>
      <w:r>
        <w:rPr>
          <w:rStyle w:val="VerbatimChar"/>
        </w:rPr>
        <w:t xml:space="preserve">evaluation rubric. Return only a JSON object where each key is a quality factor, and each</w:t>
      </w:r>
      <w:r>
        <w:br/>
      </w:r>
      <w:r>
        <w:rPr>
          <w:rStyle w:val="VerbatimChar"/>
        </w:rPr>
        <w:t xml:space="preserve">value is a concise description of that factor. Output only the JSON.</w:t>
      </w:r>
    </w:p>
    <w:p>
      <w:pPr>
        <w:pStyle w:val="FirstParagraph"/>
        <w:jc w:val="both"/>
        <w:keepNext w:val="0"/>
        <w:keepLines w:val="0"/>
        <w:widowControl w:val="1"/>
      </w:pPr>
      <w:r>
        <w:rPr>
          <w:b/>
          <w:bCs/>
        </w:rPr>
        <w:t xml:space="preserve">(4) Item synthesis.</w:t>
      </w:r>
      <w:r>
        <w:t xml:space="preserve"> </w:t>
      </w:r>
      <w:r>
        <w:t xml:space="preserve">Generate one realistic item for a sampled attribute cell.</w:t>
      </w:r>
    </w:p>
    <w:p>
      <w:pPr>
        <w:pStyle w:val="BodyText"/>
        <w:jc w:val="both"/>
        <w:keepNext w:val="0"/>
        <w:keepLines w:val="0"/>
        <w:widowControl w:val="1"/>
      </w:pPr>
      <w:r>
        <w:rPr>
          <w:rStyle w:val="VerbatimChar"/>
        </w:rPr>
        <w:t xml:space="preserve">Generate a realistic benchmark data point.</w:t>
      </w:r>
      <w:r>
        <w:br/>
      </w:r>
      <w:r>
        <w:rPr>
          <w:rStyle w:val="VerbatimChar"/>
        </w:rPr>
        <w:t xml:space="preserve">Task: {task_description}</w:t>
      </w:r>
      <w:r>
        <w:br/>
      </w:r>
      <w:r>
        <w:rPr>
          <w:rStyle w:val="VerbatimChar"/>
        </w:rPr>
        <w:t xml:space="preserve">Output format: {output_description}</w:t>
      </w:r>
      <w:r>
        <w:br/>
      </w:r>
      <w:r>
        <w:rPr>
          <w:rStyle w:val="VerbatimChar"/>
        </w:rPr>
        <w:t xml:space="preserve">Required attributes: {target_attributes}</w:t>
      </w:r>
      <w:r>
        <w:br/>
      </w:r>
      <w:r>
        <w:rPr>
          <w:rStyle w:val="VerbatimChar"/>
        </w:rPr>
        <w:t xml:space="preserve">Nuance: {nuanced_attributes}</w:t>
      </w:r>
      <w:r>
        <w:br/>
      </w:r>
      <w:r>
        <w:br/>
      </w:r>
      <w:r>
        <w:rPr>
          <w:rStyle w:val="VerbatimChar"/>
        </w:rPr>
        <w:t xml:space="preserve">Return only a JSON object with exactly two string keys:</w:t>
      </w:r>
      <w:r>
        <w:br/>
      </w:r>
      <w:r>
        <w:rPr>
          <w:rStyle w:val="VerbatimChar"/>
        </w:rPr>
        <w:t xml:space="preserve">  "prompt":   a realistic input text for the task</w:t>
      </w:r>
      <w:r>
        <w:br/>
      </w:r>
      <w:r>
        <w:rPr>
          <w:rStyle w:val="VerbatimChar"/>
        </w:rPr>
        <w:t xml:space="preserve">  "response": the expected output for that input</w:t>
      </w:r>
      <w:r>
        <w:br/>
      </w:r>
      <w:r>
        <w:rPr>
          <w:rStyle w:val="VerbatimChar"/>
        </w:rPr>
        <w:t xml:space="preserve">Output only the JSON. No explanation or markdown.</w:t>
      </w:r>
    </w:p>
    <w:p>
      <w:pPr>
        <w:pStyle w:val="FirstParagraph"/>
        <w:jc w:val="both"/>
        <w:keepNext w:val="0"/>
        <w:keepLines w:val="0"/>
        <w:widowControl w:val="1"/>
      </w:pPr>
      <w:r>
        <w:t xml:space="preserve">Running this pipeline on the three one-line seeds below produces the auto-generated attribute strata and rubrics in</w:t>
      </w:r>
      <w:r>
        <w:t xml:space="preserve"> </w:t>
      </w:r>
      <w:r>
        <w:t xml:space="preserve">Table C1, and the verbatim items that follow it.</w:t>
      </w:r>
    </w:p>
    <w:p>
      <w:pPr>
        <w:pStyle w:val="TableCaption"/>
        <w:spacing w:before="280" w:after="60" w:line="240" w:lineRule="auto"/>
        <w:jc w:val="center"/>
        <w:keepNext/>
        <w:keepLines/>
        <w:widowControl w:val="1"/>
      </w:pPr>
      <w:r>
        <w:rPr>
          <w:b/>
          <w:i/>
        </w:rPr>
        <w:t>Table C1.</w:t>
      </w:r>
      <w:r>
        <w:rPr>
          <w:b w:val="0"/>
          <w:i/>
        </w:rPr>
        <w:t xml:space="preserve"> </w:t>
      </w:r>
      <w:r>
        <w:rPr>
          <w:b w:val="0"/>
          <w:i/>
        </w:rPr>
        <w:t>From a one-line description to a scored benchmark, for three domains with no public labeled data. The attribute strata and rubric criteria are auto-generated by the teacher; each domain yields 40 stratified, contamination-free items, scored by the cross-family panel.</w:t>
      </w:r>
    </w:p>
    <w:tbl>
      <w:tblPr>
        <w:tblStyle w:val="Table"/>
        <w:tblW w:type="pct" w:w="5000"/>
        <w:jc w:val="center"/>
        <w:tblLayout w:type="autofit"/>
        <w:tblLook w:firstRow="1" w:lastRow="0" w:firstColumn="0" w:lastColumn="0" w:noHBand="0" w:noVBand="0" w:val="0020"/>
        <w:tblCaption w:val="Table C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Domain and one-line seed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Auto-generated attribute strata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Auto-generated rubric</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Drug–drug interaction reasoning</w:t>
            </w:r>
            <w:r>
              <w:rPr>
                <w:rFonts w:ascii="Georgia" w:hAnsi="Georgia"/>
                <w:sz w:val="19"/>
              </w:rPr>
              <w:br/>
            </w:r>
            <w:r>
              <w:rPr>
                <w:rFonts w:ascii="Georgia" w:hAnsi="Georgia"/>
                <w:i/>
                <w:iCs/>
                <w:sz w:val="19"/>
              </w:rPr>
              <w:t xml:space="preserve">"given two or more co-administered drugs and a patient context, assess the interaction, its mechanism, severity, and clinical 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severity {contraindicated, major, moderate, minor}; mechanism {pharmacokinetic, pharmacodynamic};</w:t>
            </w:r>
            <w:r>
              <w:rPr>
                <w:rFonts w:ascii="Georgia" w:hAnsi="Georgia"/>
                <w:sz w:val="19"/>
              </w:rPr>
              <w:t xml:space="preserve"> </w:t>
            </w:r>
            <w:r>
              <w:rPr>
                <w:rFonts w:ascii="Georgia" w:hAnsi="Georgia"/>
                <w:sz w:val="19"/>
              </w:rPr>
              <w:t xml:space="preserve">patient_context {renal, hepatic, polypharmacy-elderly, pregnancy}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interaction_accuracy, severity_correct, safety, completeness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Clinical reasoning</w:t>
            </w:r>
            <w:r>
              <w:rPr>
                <w:rFonts w:ascii="Georgia" w:hAnsi="Georgia"/>
                <w:sz w:val="19"/>
              </w:rPr>
              <w:br/>
            </w:r>
            <w:r>
              <w:rPr>
                <w:rFonts w:ascii="Georgia" w:hAnsi="Georgia"/>
                <w:i/>
                <w:iCs/>
                <w:sz w:val="19"/>
              </w:rPr>
              <w:t xml:space="preserve">"a clinical reasoning question a clinician would face, requiring medical knowledge and safe, accurate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specialty {cardiology, infectious_disease, pediatrics, oncology, emergency}; difficulty {routine, intermediate, hard}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clinical_accuracy, safety, completeness, clarity</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Legal analysis</w:t>
            </w:r>
            <w:r>
              <w:rPr>
                <w:rFonts w:ascii="Georgia" w:hAnsi="Georgia"/>
                <w:sz w:val="19"/>
              </w:rPr>
              <w:br/>
            </w:r>
            <w:r>
              <w:rPr>
                <w:rFonts w:ascii="Georgia" w:hAnsi="Georgia"/>
                <w:i/>
                <w:iCs/>
                <w:sz w:val="19"/>
              </w:rPr>
              <w:t xml:space="preserve">"a legal analysis question requiring identification of the relevant rule and correct application to the facts"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area_of_law {contracts, torts, criminal, constitutional, intellectual_property}; complexity {basic, intermediate, advanced}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legal_accuracy, reasoning_quality, completeness, clarity</w:t>
            </w:r>
          </w:p>
        </w:tc>
      </w:tr>
    </w:tbl>
    <w:p>
      <w:pPr>
        <w:pStyle w:val="BodyText"/>
        <w:spacing w:before="240"/>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ind w:left="360" w:hanging="259"/>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ind w:left="360" w:hanging="259"/>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ind w:left="360" w:hanging="259"/>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6.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15"/>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32" Type="http://schemas.openxmlformats.org/officeDocument/2006/relationships/image" Target="media/rId32.png"/><Relationship Id="rId24" Type="http://schemas.openxmlformats.org/officeDocument/2006/relationships/image" Target="media/rId24.png"/><Relationship Id="rId111" Type="http://schemas.openxmlformats.org/officeDocument/2006/relationships/image" Target="media/rId111.png"/><Relationship Id="rId69" Type="http://schemas.openxmlformats.org/officeDocument/2006/relationships/hyperlink" Target="https://arxiv.org/abs/2104.14337" TargetMode="External"/><Relationship Id="rId45" Type="http://schemas.openxmlformats.org/officeDocument/2006/relationships/hyperlink" Target="https://arxiv.org/abs/2303.16634" TargetMode="External"/><Relationship Id="rId43" Type="http://schemas.openxmlformats.org/officeDocument/2006/relationships/hyperlink" Target="https://arxiv.org/abs/2306.05685" TargetMode="External"/><Relationship Id="rId83" Type="http://schemas.openxmlformats.org/officeDocument/2006/relationships/hyperlink" Target="https://arxiv.org/abs/2308.07201" TargetMode="External"/><Relationship Id="rId87" Type="http://schemas.openxmlformats.org/officeDocument/2006/relationships/hyperlink" Target="https://arxiv.org/abs/2403.07974" TargetMode="External"/><Relationship Id="rId57" Type="http://schemas.openxmlformats.org/officeDocument/2006/relationships/hyperlink" Target="https://arxiv.org/abs/2404.04475" TargetMode="External"/><Relationship Id="rId51" Type="http://schemas.openxmlformats.org/officeDocument/2006/relationships/hyperlink" Target="https://arxiv.org/abs/2404.18796" TargetMode="External"/><Relationship Id="rId65" Type="http://schemas.openxmlformats.org/officeDocument/2006/relationships/hyperlink" Target="https://arxiv.org/abs/2405.00332" TargetMode="External"/><Relationship Id="rId47" Type="http://schemas.openxmlformats.org/officeDocument/2006/relationships/hyperlink" Target="https://arxiv.org/abs/2405.01535" TargetMode="External"/><Relationship Id="rId55" Type="http://schemas.openxmlformats.org/officeDocument/2006/relationships/hyperlink" Target="https://arxiv.org/abs/2406.05761" TargetMode="External"/><Relationship Id="rId85" Type="http://schemas.openxmlformats.org/officeDocument/2006/relationships/hyperlink" Target="https://arxiv.org/abs/2406.19314" TargetMode="External"/><Relationship Id="rId59" Type="http://schemas.openxmlformats.org/officeDocument/2006/relationships/hyperlink" Target="https://arxiv.org/abs/2407.08351" TargetMode="External"/><Relationship Id="rId49" Type="http://schemas.openxmlformats.org/officeDocument/2006/relationships/hyperlink" Target="https://arxiv.org/abs/2407.10817" TargetMode="External"/><Relationship Id="rId91" Type="http://schemas.openxmlformats.org/officeDocument/2006/relationships/hyperlink" Target="https://arxiv.org/abs/2408.08808" TargetMode="External"/><Relationship Id="rId75" Type="http://schemas.openxmlformats.org/officeDocument/2006/relationships/hyperlink" Target="https://arxiv.org/abs/2410.02736" TargetMode="External"/><Relationship Id="rId53" Type="http://schemas.openxmlformats.org/officeDocument/2006/relationships/hyperlink" Target="https://arxiv.org/abs/2410.12784" TargetMode="External"/><Relationship Id="rId77" Type="http://schemas.openxmlformats.org/officeDocument/2006/relationships/hyperlink" Target="https://arxiv.org/abs/2410.21819" TargetMode="External"/><Relationship Id="rId61" Type="http://schemas.openxmlformats.org/officeDocument/2006/relationships/hyperlink" Target="https://arxiv.org/abs/2410.22584" TargetMode="External"/><Relationship Id="rId79" Type="http://schemas.openxmlformats.org/officeDocument/2006/relationships/hyperlink" Target="https://arxiv.org/abs/2411.15594" TargetMode="External"/><Relationship Id="rId81" Type="http://schemas.openxmlformats.org/officeDocument/2006/relationships/hyperlink" Target="https://arxiv.org/abs/2411.16594" TargetMode="External"/><Relationship Id="rId103" Type="http://schemas.openxmlformats.org/officeDocument/2006/relationships/hyperlink" Target="https://arxiv.org/abs/2501.12789" TargetMode="External"/><Relationship Id="rId71" Type="http://schemas.openxmlformats.org/officeDocument/2006/relationships/hyperlink" Target="https://arxiv.org/abs/2502.01534" TargetMode="External"/><Relationship Id="rId67" Type="http://schemas.openxmlformats.org/officeDocument/2006/relationships/hyperlink" Target="https://arxiv.org/abs/2502.14425" TargetMode="External"/><Relationship Id="rId101" Type="http://schemas.openxmlformats.org/officeDocument/2006/relationships/hyperlink" Target="https://arxiv.org/abs/2502.14678" TargetMode="External"/><Relationship Id="rId105" Type="http://schemas.openxmlformats.org/officeDocument/2006/relationships/hyperlink" Target="https://arxiv.org/abs/2502.17521" TargetMode="External"/><Relationship Id="rId63" Type="http://schemas.openxmlformats.org/officeDocument/2006/relationships/hyperlink" Target="https://arxiv.org/abs/2504.01833" TargetMode="External"/><Relationship Id="rId89" Type="http://schemas.openxmlformats.org/officeDocument/2006/relationships/hyperlink" Target="https://arxiv.org/abs/2504.03846" TargetMode="External"/><Relationship Id="rId93" Type="http://schemas.openxmlformats.org/officeDocument/2006/relationships/hyperlink" Target="https://arxiv.org/abs/2504.17087" TargetMode="External"/><Relationship Id="rId73" Type="http://schemas.openxmlformats.org/officeDocument/2006/relationships/hyperlink" Target="https://arxiv.org/abs/2508.06709" TargetMode="External"/><Relationship Id="rId99" Type="http://schemas.openxmlformats.org/officeDocument/2006/relationships/hyperlink" Target="https://arxiv.org/abs/2601.21817" TargetMode="External"/><Relationship Id="rId95" Type="http://schemas.openxmlformats.org/officeDocument/2006/relationships/hyperlink" Target="https://arxiv.org/abs/2602.16610" TargetMode="External"/><Relationship Id="rId97" Type="http://schemas.openxmlformats.org/officeDocument/2006/relationships/hyperlink" Target="https://arxiv.org/abs/2603.00039" TargetMode="External"/><Relationship Id="rId107" Type="http://schemas.openxmlformats.org/officeDocument/2006/relationships/hyperlink" Target="https://doi.org/10.2307/2346806"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69" Type="http://schemas.openxmlformats.org/officeDocument/2006/relationships/hyperlink" Target="https://arxiv.org/abs/2104.14337" TargetMode="External"/><Relationship Id="rId45" Type="http://schemas.openxmlformats.org/officeDocument/2006/relationships/hyperlink" Target="https://arxiv.org/abs/2303.16634" TargetMode="External"/><Relationship Id="rId43" Type="http://schemas.openxmlformats.org/officeDocument/2006/relationships/hyperlink" Target="https://arxiv.org/abs/2306.05685" TargetMode="External"/><Relationship Id="rId83" Type="http://schemas.openxmlformats.org/officeDocument/2006/relationships/hyperlink" Target="https://arxiv.org/abs/2308.07201" TargetMode="External"/><Relationship Id="rId87" Type="http://schemas.openxmlformats.org/officeDocument/2006/relationships/hyperlink" Target="https://arxiv.org/abs/2403.07974" TargetMode="External"/><Relationship Id="rId57" Type="http://schemas.openxmlformats.org/officeDocument/2006/relationships/hyperlink" Target="https://arxiv.org/abs/2404.04475" TargetMode="External"/><Relationship Id="rId51" Type="http://schemas.openxmlformats.org/officeDocument/2006/relationships/hyperlink" Target="https://arxiv.org/abs/2404.18796" TargetMode="External"/><Relationship Id="rId65" Type="http://schemas.openxmlformats.org/officeDocument/2006/relationships/hyperlink" Target="https://arxiv.org/abs/2405.00332" TargetMode="External"/><Relationship Id="rId47" Type="http://schemas.openxmlformats.org/officeDocument/2006/relationships/hyperlink" Target="https://arxiv.org/abs/2405.01535" TargetMode="External"/><Relationship Id="rId55" Type="http://schemas.openxmlformats.org/officeDocument/2006/relationships/hyperlink" Target="https://arxiv.org/abs/2406.05761" TargetMode="External"/><Relationship Id="rId85" Type="http://schemas.openxmlformats.org/officeDocument/2006/relationships/hyperlink" Target="https://arxiv.org/abs/2406.19314" TargetMode="External"/><Relationship Id="rId59" Type="http://schemas.openxmlformats.org/officeDocument/2006/relationships/hyperlink" Target="https://arxiv.org/abs/2407.08351" TargetMode="External"/><Relationship Id="rId49" Type="http://schemas.openxmlformats.org/officeDocument/2006/relationships/hyperlink" Target="https://arxiv.org/abs/2407.10817" TargetMode="External"/><Relationship Id="rId91" Type="http://schemas.openxmlformats.org/officeDocument/2006/relationships/hyperlink" Target="https://arxiv.org/abs/2408.08808" TargetMode="External"/><Relationship Id="rId75" Type="http://schemas.openxmlformats.org/officeDocument/2006/relationships/hyperlink" Target="https://arxiv.org/abs/2410.02736" TargetMode="External"/><Relationship Id="rId53" Type="http://schemas.openxmlformats.org/officeDocument/2006/relationships/hyperlink" Target="https://arxiv.org/abs/2410.12784" TargetMode="External"/><Relationship Id="rId77" Type="http://schemas.openxmlformats.org/officeDocument/2006/relationships/hyperlink" Target="https://arxiv.org/abs/2410.21819" TargetMode="External"/><Relationship Id="rId61" Type="http://schemas.openxmlformats.org/officeDocument/2006/relationships/hyperlink" Target="https://arxiv.org/abs/2410.22584" TargetMode="External"/><Relationship Id="rId79" Type="http://schemas.openxmlformats.org/officeDocument/2006/relationships/hyperlink" Target="https://arxiv.org/abs/2411.15594" TargetMode="External"/><Relationship Id="rId81" Type="http://schemas.openxmlformats.org/officeDocument/2006/relationships/hyperlink" Target="https://arxiv.org/abs/2411.16594" TargetMode="External"/><Relationship Id="rId103" Type="http://schemas.openxmlformats.org/officeDocument/2006/relationships/hyperlink" Target="https://arxiv.org/abs/2501.12789" TargetMode="External"/><Relationship Id="rId71" Type="http://schemas.openxmlformats.org/officeDocument/2006/relationships/hyperlink" Target="https://arxiv.org/abs/2502.01534" TargetMode="External"/><Relationship Id="rId67" Type="http://schemas.openxmlformats.org/officeDocument/2006/relationships/hyperlink" Target="https://arxiv.org/abs/2502.14425" TargetMode="External"/><Relationship Id="rId101" Type="http://schemas.openxmlformats.org/officeDocument/2006/relationships/hyperlink" Target="https://arxiv.org/abs/2502.14678" TargetMode="External"/><Relationship Id="rId105" Type="http://schemas.openxmlformats.org/officeDocument/2006/relationships/hyperlink" Target="https://arxiv.org/abs/2502.17521" TargetMode="External"/><Relationship Id="rId63" Type="http://schemas.openxmlformats.org/officeDocument/2006/relationships/hyperlink" Target="https://arxiv.org/abs/2504.01833" TargetMode="External"/><Relationship Id="rId89" Type="http://schemas.openxmlformats.org/officeDocument/2006/relationships/hyperlink" Target="https://arxiv.org/abs/2504.03846" TargetMode="External"/><Relationship Id="rId93" Type="http://schemas.openxmlformats.org/officeDocument/2006/relationships/hyperlink" Target="https://arxiv.org/abs/2504.17087" TargetMode="External"/><Relationship Id="rId73" Type="http://schemas.openxmlformats.org/officeDocument/2006/relationships/hyperlink" Target="https://arxiv.org/abs/2508.06709" TargetMode="External"/><Relationship Id="rId99" Type="http://schemas.openxmlformats.org/officeDocument/2006/relationships/hyperlink" Target="https://arxiv.org/abs/2601.21817" TargetMode="External"/><Relationship Id="rId95" Type="http://schemas.openxmlformats.org/officeDocument/2006/relationships/hyperlink" Target="https://arxiv.org/abs/2602.16610" TargetMode="External"/><Relationship Id="rId97" Type="http://schemas.openxmlformats.org/officeDocument/2006/relationships/hyperlink" Target="https://arxiv.org/abs/2603.00039" TargetMode="External"/><Relationship Id="rId107" Type="http://schemas.openxmlformats.org/officeDocument/2006/relationships/hyperlink" Target="https://doi.org/10.2307/23468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2026-06-03T11:17:06Z</dcterms:created>
  <dcterms:modified xsi:type="dcterms:W3CDTF">2026-06-03T11:17:06Z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