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160"/>
        <w:jc w:val="center"/>
        <w:keepNext w:val="0"/>
        <w:keepLines/>
        <w:widowControl w:val="1"/>
      </w:pPr>
      <w:r>
        <w:rPr>
          <w:rFonts w:ascii="Georgia" w:hAnsi="Georgia"/>
          <w:b w:val="0"/>
          <w:i/>
          <w:sz w:val="19"/>
        </w:rPr>
        <w:t xml:space="preserve">Alexander Apartsin</w:t>
      </w:r>
      <w:r>
        <w:rPr>
          <w:rFonts w:ascii="Georgia" w:hAnsi="Georgia"/>
          <w:b w:val="0"/>
          <w:i/>
          <w:sz w:val="19"/>
          <w:vertAlign w:val="superscript"/>
        </w:rPr>
        <w:t xml:space="preserve">1</w:t>
      </w:r>
      <w:r>
        <w:rPr>
          <w:rFonts w:ascii="Georgia" w:hAnsi="Georgia"/>
          <w:b w:val="0"/>
          <w:i/>
          <w:sz w:val="19"/>
        </w:rPr>
        <w:t xml:space="preserve">,</w:t>
      </w:r>
      <w:r>
        <w:rPr>
          <w:rFonts w:ascii="Georgia" w:hAnsi="Georgia"/>
          <w:b w:val="0"/>
          <w:i/>
          <w:sz w:val="19"/>
        </w:rPr>
        <w:t xml:space="preserve"> </w:t>
      </w:r>
      <w:r>
        <w:rPr>
          <w:rFonts w:ascii="Georgia" w:hAnsi="Georgia"/>
          <w:b w:val="0"/>
          <w:i/>
          <w:sz w:val="19"/>
        </w:rPr>
        <w:t xml:space="preserve">Yehudit Aperstein</w:t>
      </w:r>
      <w:r>
        <w:rPr>
          <w:rFonts w:ascii="Georgia" w:hAnsi="Georgia"/>
          <w:b w:val="0"/>
          <w:i/>
          <w:sz w:val="19"/>
          <w:vertAlign w:val="superscript"/>
        </w:rPr>
        <w:t xml:space="preserve">2</w:t>
      </w:r>
    </w:p>
    <w:p>
      <w:pPr>
        <w:pStyle w:val="Subtitle"/>
        <w:spacing w:before="0" w:after="160"/>
        <w:jc w:val="center"/>
        <w:keepNext w:val="0"/>
        <w:keepLines/>
        <w:widowControl w:val="1"/>
      </w:pPr>
      <w:r>
        <w:rPr>
          <w:rFonts w:ascii="Georgia" w:hAnsi="Georgia"/>
          <w:b w:val="0"/>
          <w:i/>
          <w:sz w:val="19"/>
          <w:vertAlign w:val="superscript"/>
        </w:rPr>
        <w:t xml:space="preserve">1</w:t>
      </w:r>
      <w:r>
        <w:rPr>
          <w:rFonts w:ascii="Georgia" w:hAnsi="Georgia"/>
          <w:b w:val="0"/>
          <w:i/>
          <w:sz w:val="19"/>
        </w:rPr>
        <w:t xml:space="preserve">Holon Institute of Technology, Israel  ·  </w:t>
      </w:r>
      <w:r>
        <w:rPr>
          <w:rFonts w:ascii="Georgia" w:hAnsi="Georgia"/>
          <w:b w:val="0"/>
          <w:i/>
          <w:sz w:val="19"/>
          <w:vertAlign w:val="superscript"/>
        </w:rPr>
        <w:t xml:space="preserve">2</w:t>
      </w:r>
      <w:r>
        <w:rPr>
          <w:rFonts w:ascii="Georgia" w:hAnsi="Georgia"/>
          <w:b w:val="0"/>
          <w:i/>
          <w:sz w:val="19"/>
        </w:rPr>
        <w:t xml:space="preserve">Afeka Tel Aviv Academic College of Engineering, Israel</w:t>
      </w:r>
    </w:p>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Choosing or ranking language models for a specific application is hardest when</w:t>
      </w:r>
      <w:r>
        <w:t xml:space="preserve"> </w:t>
      </w:r>
      <w:r>
        <w:rPr>
          <w:i/>
          <w:iCs/>
        </w:rPr>
        <w:t xml:space="preserve">no task-specific labeled data</w:t>
      </w:r>
      <w:r>
        <w:t xml:space="preserve"> </w:t>
      </w:r>
      <w:r>
        <w:t xml:space="preserve">exists and</w:t>
      </w:r>
      <w:r>
        <w:t xml:space="preserve"> </w:t>
      </w:r>
      <w:r>
        <w:rPr>
          <w:i/>
          <w:iCs/>
        </w:rPr>
        <w:t xml:space="preserve">standard public benchmarks cannot be trusted</w:t>
      </w:r>
      <w:r>
        <w:t xml:space="preserve">, their items having likely leaked into pretraining so</w:t>
      </w:r>
      <w:r>
        <w:t xml:space="preserve"> </w:t>
      </w:r>
      <w:r>
        <w:t xml:space="preserve">scores reflect memorization rather than fitness. We present</w:t>
      </w:r>
      <w:r>
        <w:t xml:space="preserve"> </w:t>
      </w:r>
      <w:r>
        <w:rPr>
          <w:b/>
          <w:bCs/>
        </w:rPr>
        <w:t xml:space="preserve">CoEval</w:t>
      </w:r>
      <w:r>
        <w:t xml:space="preserve">, an open-source, reusable framework</w:t>
      </w:r>
      <w:r>
        <w:t xml:space="preserve"> </w:t>
      </w:r>
      <w:r>
        <w:t xml:space="preserve">that closes this gap end to end: from only a description of a task or domain, teacher models synthesize a fresh,</w:t>
      </w:r>
      <w:r>
        <w:t xml:space="preserve"> </w:t>
      </w:r>
      <w:r>
        <w:t xml:space="preserve">attribute-controlled benchmark with</w:t>
      </w:r>
      <w:r>
        <w:t xml:space="preserve"> </w:t>
      </w:r>
      <w:r>
        <w:rPr>
          <w:i/>
          <w:iCs/>
        </w:rPr>
        <w:t xml:space="preserve">no human labels</w:t>
      </w:r>
      <w:r>
        <w:t xml:space="preserve">, contamination-free because items are generated anew on</w:t>
      </w:r>
      <w:r>
        <w:t xml:space="preserve"> </w:t>
      </w:r>
      <w:r>
        <w:t xml:space="preserve">each run, and a cross-family judge ensemble ranks candidate models with no human raters. Validated where ground truth</w:t>
      </w:r>
      <w:r>
        <w:t xml:space="preserve"> </w:t>
      </w:r>
      <w:r>
        <w:t xml:space="preserve">exists, CoEval recovers the true model ranking and tracks ground-truth correctness at</w:t>
      </w:r>
      <w:r>
        <w:t xml:space="preserve"> </w:t>
      </w:r>
      <m:oMath>
        <m:r>
          <m:t>ρ</m:t>
        </m:r>
        <m:r>
          <m:rPr>
            <m:sty m:val="p"/>
          </m:rPr>
          <m:t>=</m:t>
        </m:r>
        <m:r>
          <m:t>0.86</m:t>
        </m:r>
      </m:oMath>
      <w:r>
        <w:t xml:space="preserve">. The label-free</w:t>
      </w:r>
      <w:r>
        <w:t xml:space="preserve"> </w:t>
      </w:r>
      <w:r>
        <w:t xml:space="preserve">judging needs no human calibration because judge-panel</w:t>
      </w:r>
      <w:r>
        <w:t xml:space="preserve"> </w:t>
      </w:r>
      <w:r>
        <w:rPr>
          <w:i/>
          <w:iCs/>
        </w:rPr>
        <w:t xml:space="preserve">composition</w:t>
      </w:r>
      <w:r>
        <w:t xml:space="preserve"> </w:t>
      </w:r>
      <w:r>
        <w:t xml:space="preserve">(vendor diversity), not</w:t>
      </w:r>
      <w:r>
        <w:t xml:space="preserve"> </w:t>
      </w:r>
      <w:r>
        <w:rPr>
          <w:i/>
          <w:iCs/>
        </w:rPr>
        <w:t xml:space="preserve">size</w:t>
      </w:r>
      <w:r>
        <w:t xml:space="preserve">,</w:t>
      </w:r>
      <w:r>
        <w:t xml:space="preserve"> </w:t>
      </w:r>
      <w:r>
        <w:t xml:space="preserve">drives reliability: a small, well-chosen cross-family panel is most reliable, while a single judge can be</w:t>
      </w:r>
      <w:r>
        <w:t xml:space="preserve"> </w:t>
      </w:r>
      <w:r>
        <w:t xml:space="preserve">anti-correlated with ground truth (judge-choice regret</w:t>
      </w:r>
      <w:r>
        <w:t xml:space="preserve"> </w:t>
      </w:r>
      <m:oMath>
        <m:r>
          <m:t>0.35</m:t>
        </m:r>
      </m:oMath>
      <w:r>
        <w:t xml:space="preserve">) and the ensemble never is. Generated items show</w:t>
      </w:r>
      <w:r>
        <w:t xml:space="preserve"> </w:t>
      </w:r>
      <w:r>
        <w:t xml:space="preserve">zero verbatim 13-gram overlap with five major public benchmarks; the panel cancels verbosity bias and precludes</w:t>
      </w:r>
      <w:r>
        <w:t xml:space="preserve"> </w:t>
      </w:r>
      <w:r>
        <w:t xml:space="preserve">same-family self-preference. The same declarative pipeline</w:t>
      </w:r>
      <w:r>
        <w:t xml:space="preserve"> </w:t>
      </w:r>
      <w:r>
        <w:t xml:space="preserve">applies to any domain and is cheap enough to re-run on every model release: a label-free, contamination-free</w:t>
      </w:r>
      <w:r>
        <w:t xml:space="preserve"> </w:t>
      </w:r>
      <w:r>
        <w:t xml:space="preserve">leaderboard any team can regenerate for its own application.</w:t>
      </w:r>
    </w:p>
    <w:p>
      <w:pPr>
        <w:spacing w:before="0" w:after="0" w:line="520" w:lineRule="exact"/>
        <w:rPr>
          <w:sz w:val="12"/>
          <w:szCs w:val="1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choosing a language model for a specific application (summarizing clinical notes, answering</w:t>
      </w:r>
      <w:r>
        <w:t xml:space="preserve"> </w:t>
      </w:r>
      <w:r>
        <w:t xml:space="preserve">questions over an internal knowledge base, triaging support tickets for a particular product) faces a</w:t>
      </w:r>
      <w:r>
        <w:t xml:space="preserve"> </w:t>
      </w:r>
      <w:r>
        <w:t xml:space="preserve">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ind w:left="360" w:hanging="259"/>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ind w:left="360" w:hanging="259"/>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ind w:left="360" w:hanging="259"/>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ind w:left="360" w:hanging="259"/>
        <w:jc w:val="both"/>
        <w:keepNext w:val="0"/>
        <w:keepLines w:val="0"/>
        <w:widowControl w:val="1"/>
      </w:pPr>
      <w:r>
        <w:rPr>
          <w:b/>
          <w:bCs/>
        </w:rPr>
        <w:t xml:space="preserve">(4) A reusable, open framework, not a one-off benchmark.</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is cheap enough to re-run on every model release, so a team obtains a renewable, application-specific</w:t>
      </w:r>
      <w:r>
        <w:t xml:space="preserve"> </w:t>
      </w:r>
      <w:r>
        <w:t xml:space="preserve">benchmark rather than a fixed leaderboard. This per-domain ranking is necessary rather than cosmetic: across four</w:t>
      </w:r>
      <w:r>
        <w:t xml:space="preserve"> </w:t>
      </w:r>
      <w:r>
        <w:t xml:space="preserve">de-novo domains three different models take first place (Section 5.8), so a single generic leaderboard</w:t>
      </w:r>
      <w:r>
        <w:t xml:space="preserve"> </w:t>
      </w:r>
      <w:r>
        <w:t xml:space="preserve">misdirects most domain practitioners.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The idea that a rater's reliability can be inferred from inter-rater agreement, with no ground truth, dates back to</w:t>
      </w:r>
      <w:r>
        <w:t xml:space="preserve"> </w:t>
      </w:r>
      <w:r>
        <w:rPr>
          <w:i/>
          <w:iCs/>
        </w:rPr>
        <w:t xml:space="preserve">Dawid and Skene</w:t>
      </w:r>
      <w:r>
        <w:t xml:space="preserve"> </w:t>
      </w:r>
      <w:r>
        <w:t xml:space="preserve">[</w:t>
      </w:r>
      <w:hyperlink w:anchor="r33">
        <w:r>
          <w:rPr>
            <w:rStyle w:val="Hyperlink"/>
          </w:rPr>
          <w:t xml:space="preserve">33</w:t>
        </w:r>
      </w:hyperlink>
      <w:r>
        <w:t xml:space="preserve">], whose EM algorithm estimates latent labels and per-rater error rates</w:t>
      </w:r>
      <w:r>
        <w:t xml:space="preserve"> </w:t>
      </w:r>
      <w:r>
        <w:t xml:space="preserve">jointly; CoEval applies the same principle to a vendor-disjoint LLM panel, where peer agreement both down-weights and</w:t>
      </w:r>
      <w:r>
        <w:t xml:space="preserve"> </w:t>
      </w:r>
      <w:r>
        <w:t xml:space="preserve">diagnoses unreliable judges (Section 5.2).</w:t>
      </w:r>
      <w:r>
        <w:t xml:space="preserve"> </w:t>
      </w: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2067876"/>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6400800" cy="20678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CoEval pipeline. A single pool of models rotates through three roles: teachers map attributes, construct rubrics, and generate fresh benchmark items (Phases 1–3); students produce candidate responses (Phase 4); and a cross-family judge ensemble scores them (Phase 5). The entire run is specified in one declarative configuration.</w:t>
      </w:r>
    </w:p>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Experiment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Task(s)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Judge panel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Size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5.1 ground truth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SciQ, ARC (exact-match QA)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 claude-sonnet-4, gemini-2.5-flash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191 items / 573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5.2 reliability (5.1 summ. anchor)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code (BLEU), news + text summ. (BERTScore)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gpt-4o-mini, gpt-3.5-turbo, claude-haiku, 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 tasks / 900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5.2–5.3, App. 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4-task medium study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gpt-4o-mini, gpt-3.5-turbo, qwen2.5-1.5b, smollm2-1.7b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7,978 eval.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5.4, 5.7 verticals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drug-interaction, clinical, legal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claude-haiku, gemini-flash,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40 items each</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5.5 contamination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SciQ memorization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exact-match (no LLM judge)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200 memorized / 100 fresh</w:t>
            </w:r>
          </w:p>
        </w:tc>
      </w:tr>
    </w:tbl>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23"/>
    <w:bookmarkStart w:id="41"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and Section 5.6 shows the process is cheap enough to re-run per use case. Section 5.7 exercises the complete tool on three custom verticals (drug interaction, clinical, legal) with no labeled data, and Section 5.8 shows that rankings are domain-specific: across four de-novo domains three different models take first place, so a generic leaderboard misdirects the practitioner that CoEval's per-domain ranking serves.</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m:oMath>
        <m:r>
          <m:t>191</m:t>
        </m:r>
      </m:oMath>
      <m:oMath>
        <m:r>
          <m:t>573</m:t>
        </m:r>
      </m:oMath>
      <m:oMath>
        <m:r>
          <m:t>ρ</m:t>
        </m:r>
        <m:r>
          <m:rPr>
            <m:sty m:val="p"/>
          </m:rPr>
          <m:t>=</m:t>
        </m:r>
        <m:r>
          <m:t>0.86</m:t>
        </m:r>
      </m:oMath>
      <m:oMath>
        <m:r>
          <m:t>3</m:t>
        </m:r>
      </m:oMath>
      <m:oMath>
        <m:r>
          <m:t>8</m:t>
        </m:r>
      </m:oMath>
      <w:r>
        <w:rPr>
          <w:b/>
          <w:i/>
        </w:rPr>
        <w:t>Table 2.</w:t>
      </w:r>
      <w:r>
        <w:rPr>
          <w:b w:val="0"/>
          <w:i/>
        </w:rPr>
        <w:t xml:space="preserve"> </w:t>
      </w:r>
      <w:r>
        <w:rPr>
          <w:b w:val="0"/>
          <w:i/>
        </w:rPr>
        <w:t>Spearman correlation of CoEval accuracy scores with ground-truth correctness on exact-match QA (SciQ, ARC-Challenge;  datapoints,  responses; datapoint-clustered 95% bootstrap CI). The frontier cross-family ensemble tracks ground truth at . The three frontier judges agree on every item; crucially, the weaker auxiliary judges they are contrasted against (Section 5.2) disagree on – items, confirming this is genuine independent convergence of capable judges on objective correctness, not redundancy 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+0.859</w:t>
            </w:r>
            <w:r>
              <w:rPr>
                <w:rFonts w:ascii="Georgia" w:hAnsi="Georgia"/>
                <w:sz w:val="20"/>
              </w:rPr>
              <w:t xml:space="preserve"> </w:t>
            </w:r>
            <w:r>
              <w:rPr>
                <w:rFonts w:ascii="Georgia" w:hAnsi="Georgia"/>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+0.859</w:t>
            </w:r>
          </w:p>
        </w:tc>
      </w:tr>
    </w:tbl>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0.227</m:t>
        </m:r>
      </m:oMath>
      <w:r>
        <w:t xml:space="preserve">) tracks ground truth within the confidence interval of a</w:t>
      </w:r>
      <w:r>
        <w:t xml:space="preserve"> </w:t>
      </w:r>
      <w:r>
        <w:t xml:space="preserve">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a statistical tie with this strong single-judge baseline, without depending on any one model. A single judge</w:t>
      </w:r>
      <w:r>
        <w:t xml:space="preserve"> </w:t>
      </w:r>
      <w:r>
        <w:t xml:space="preserve">is a gamble one cannot hedge in advance: on this summarization subset (</w:t>
      </w:r>
      <m:oMath>
        <m:r>
          <m:t>n</m:t>
        </m:r>
        <m:r>
          <m:rPr>
            <m:sty m:val="p"/>
          </m:rPr>
          <m:t>=</m:t>
        </m:r>
        <m:r>
          <m:t>580</m:t>
        </m:r>
      </m:oMath>
      <w:r>
        <w:t xml:space="preserve">)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0.02</m:t>
        </m:r>
      </m:oMath>
      <w:r>
        <w:rPr>
          <w:b/>
          <w:i/>
        </w:rPr>
        <w:t>Figure 2.</w:t>
      </w:r>
      <w:r>
        <w:rPr>
          <w:b w:val="0"/>
          <w:i/>
        </w:rPr>
        <w:t xml:space="preserve"> </w:t>
      </w:r>
      <w:r>
        <w:rPr>
          <w:b w:val="0"/>
          <w:i/>
        </w:rPr>
        <w:t>CoEval recovers the true model ranking with no labels. For each student model the CoEval frontier-ensemble accuracy score (green, datapoint-clustered 95% CI) and the held-out ground-truth accuracy (blue) coincide within , and the order gpt-4o-mini &gt; gpt-3.5-turbo &gt; llama-3.2-3b is reproduced exactly (cf. Table 3).</w:t>
      </w:r>
    </w:p>
    <w:p>
      <w:pPr>
        <w:pStyle w:val="TableCaption"/>
        <w:spacing w:before="240" w:after="60" w:line="240" w:lineRule="auto"/>
        <w:jc w:val="center"/>
        <w:keepNext/>
        <w:keepLines/>
        <w:widowControl w:val="1"/>
      </w:pPr>
      <w:r>
        <w:rPr>
          <w:b/>
          <w:i/>
        </w:rPr>
        <w:t>Table 3.</w:t>
      </w:r>
      <w:r>
        <w:rPr>
          <w:b w:val="0"/>
          <w:i/>
        </w:rPr>
        <w:t xml:space="preserve"> </w:t>
      </w:r>
      <w:r>
        <w:rPr>
          <w:b w:val="0"/>
          <w:i/>
        </w:rPr>
        <w:t>CoEval reproduces the ground-truth model ranking. Three student models ranked by CoEval frontier-ensemble accuracy score (datapoint-clustered 95% CI) and by exact-match ground truth; the orderings 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0.832</w:t>
            </w:r>
          </w:p>
        </w:tc>
      </w:tr>
    </w:tbl>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27"/>
    <w:bookmarkStart w:id="31"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panel composition from a liability for an unweighted</w:t>
      </w:r>
      <w:r>
        <w:t xml:space="preserve"> </w:t>
      </w:r>
      <w:r>
        <w:t xml:space="preserve">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I</m:t>
        </m:r>
        <m:r>
          <m:rPr>
            <m:sty m:val="p"/>
          </m:rPr>
          <m:t>C</m:t>
        </m:r>
        <m:r>
          <m:rPr>
            <m:sty m:val="p"/>
          </m:rPr>
          <m:t>C</m:t>
        </m:r>
        <m:r>
          <m:rPr>
            <m:sty m:val="p"/>
          </m:rPr>
          <m:t>(</m:t>
        </m:r>
        <m:r>
          <m:t>3</m:t>
        </m:r>
        <m:r>
          <m:rPr>
            <m:sty m:val="p"/>
          </m:rPr>
          <m:t>,</m:t>
        </m:r>
        <m:r>
          <m:t>k</m:t>
        </m:r>
        <m:r>
          <m:rPr>
            <m:sty m:val="p"/>
          </m:rPr>
          <m:t>)</m:t>
        </m:r>
      </m:oMath>
      <m:oMath>
        <m:r>
          <m:rPr>
            <m:sty m:val="p"/>
          </m:rPr>
          <m:t>I</m:t>
        </m:r>
        <m:r>
          <m:rPr>
            <m:sty m:val="p"/>
          </m:rPr>
          <m:t>C</m:t>
        </m:r>
        <m:r>
          <m:rPr>
            <m:sty m:val="p"/>
          </m:rPr>
          <m:t>C</m:t>
        </m:r>
        <m:r>
          <m:rPr>
            <m:sty m:val="p"/>
          </m:rPr>
          <m:t>=</m:t>
        </m:r>
        <m:r>
          <m:t>0.70</m:t>
        </m:r>
      </m:oMath>
      <w:r>
        <w:rPr>
          <w:b/>
          <w:i/>
        </w:rPr>
        <w:t>Figure 3.</w:t>
      </w:r>
      <w:r>
        <w:rPr>
          <w:b w:val="0"/>
          <w:i/>
        </w:rPr>
        <w:t xml:space="preserve"> </w:t>
      </w:r>
      <w:r>
        <w:rPr>
          <w:b w:val="0"/>
          <w:i/>
        </w:rPr>
        <w:t>Composition over size. Average-measures reliability  as judges are added in descending agreement order. A selected strong panel reaches ; indiscriminately adding low-agreement judges lowers the mean inter-rater correlation faster than averaging compensates, so reliability falls. CoEval's consensus selection retains the high-agreement judges, delivering the reliable configuration automatically.</w:t>
      </w:r>
    </w:p>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p>
      <w:pPr>
        <w:pStyle w:val="BodyText"/>
        <w:jc w:val="both"/>
        <w:keepNext w:val="0"/>
        <w:keepLines w:val="0"/>
        <w:widowControl w:val="1"/>
      </w:pPr>
      <w:r>
        <w:t xml:space="preserve">Composition matters because the</w:t>
      </w:r>
      <w:r>
        <w:t xml:space="preserve"> </w:t>
      </w:r>
      <w:r>
        <w:rPr>
          <w:i/>
          <w:iCs/>
        </w:rPr>
        <w:t xml:space="preserve">wrong single judge can be worse than useless</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rPr>
          <w:b/>
          <w:bCs/>
        </w:rPr>
        <w:t xml:space="preserve">Finding (judge-choice regret).</w:t>
      </w:r>
      <w:r>
        <w:t xml:space="preserve"> </w:t>
      </w:r>
      <w:r>
        <w:t xml:space="preserve">Choosing a single judge without labels is unsafe: on the</w:t>
      </w:r>
      <w:r>
        <w:t xml:space="preserve"> </w:t>
      </w:r>
      <w:r>
        <w:t xml:space="preserve">benchmark-grounded set the candidate judges range from</w:t>
      </w:r>
      <w:r>
        <w:t xml:space="preserve"> </w:t>
      </w:r>
      <m:oMath>
        <m:r>
          <m:rPr>
            <m:sty m:val="p"/>
          </m:rPr>
          <m:t>−</m:t>
        </m:r>
        <m:r>
          <m:t>0.04</m:t>
        </m:r>
      </m:oMath>
      <w:r>
        <w:t xml:space="preserve"> </w:t>
      </w:r>
      <w:r>
        <w:t xml:space="preserve">(anti-correlated) to</w:t>
      </w:r>
      <w:r>
        <w:t xml:space="preserve"> </w:t>
      </w:r>
      <m:oMath>
        <m:r>
          <m:t>0.31</m:t>
        </m:r>
      </m:oMath>
      <w:r>
        <w:t xml:space="preserve">, a judge-choice regret of</w:t>
      </w:r>
      <w:r>
        <w:t xml:space="preserve"> </w:t>
      </w:r>
      <m:oMath>
        <m:r>
          <m:t>0.35</m:t>
        </m:r>
      </m:oMath>
      <w:r>
        <w:t xml:space="preserve">, and the best judge varies by task. The cross-family ensemble removes this risk (plain mean</w:t>
      </w:r>
      <w:r>
        <w:t xml:space="preserve"> </w:t>
      </w:r>
      <m:oMath>
        <m:r>
          <m:t>0.238</m:t>
        </m:r>
      </m:oMath>
      <w:r>
        <w:t xml:space="preserve">, never</w:t>
      </w:r>
      <w:r>
        <w:t xml:space="preserve"> </w:t>
      </w:r>
      <w:r>
        <w:t xml:space="preserve">anti-correlated), and among label-free aggregators reliability weighting is the strongest (</w:t>
      </w:r>
      <m:oMath>
        <m:r>
          <m:t>0.246</m:t>
        </m:r>
      </m:oMath>
      <w:r>
        <w:t xml:space="preserve">, versus</w:t>
      </w:r>
      <w:r>
        <w:t xml:space="preserve"> </w:t>
      </w:r>
      <m:oMath>
        <m:r>
          <m:t>0.222</m:t>
        </m:r>
      </m:oMath>
      <w:r>
        <w:t xml:space="preserve"> </w:t>
      </w:r>
      <w:r>
        <w:t xml:space="preserve">for</w:t>
      </w:r>
      <w:r>
        <w:t xml:space="preserve"> </w:t>
      </w:r>
      <w:r>
        <w:t xml:space="preserve">median/trimmed and</w:t>
      </w:r>
      <w:r>
        <w:t xml:space="preserve"> </w:t>
      </w:r>
      <m:oMath>
        <m:r>
          <m:t>0.178</m:t>
        </m:r>
      </m:oMath>
      <w:r>
        <w:t xml:space="preserve"> </w:t>
      </w:r>
      <w:r>
        <w:t xml:space="preserve">for Dawid–Skene), using only the panel's internal agreement.</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rPr>
          <w:b/>
          <w:bCs/>
        </w:rPr>
        <w:t xml:space="preserve">Finding (self-validating panel).</w:t>
      </w:r>
      <w:r>
        <w:t xml:space="preserve"> </w:t>
      </w:r>
      <w:r>
        <w:t xml:space="preserve">A panel both suppresses and</w:t>
      </w:r>
      <w:r>
        <w:t xml:space="preserve"> </w:t>
      </w:r>
      <w:r>
        <w:rPr>
          <w:i/>
          <w:iCs/>
        </w:rPr>
        <w:t xml:space="preserve">diagnoses</w:t>
      </w:r>
      <w:r>
        <w:t xml:space="preserve"> </w:t>
      </w:r>
      <w:r>
        <w:t xml:space="preserve">bad judges with no</w:t>
      </w:r>
      <w:r>
        <w:t xml:space="preserve"> </w:t>
      </w:r>
      <w:r>
        <w:t xml:space="preserve">labels. Adding three broken judges (random, constant, anti-correlated) to a four-judge panel nearly halves the</w:t>
      </w:r>
      <w:r>
        <w:t xml:space="preserve"> </w:t>
      </w:r>
      <w:r>
        <w:t xml:space="preserve">plain-mean accuracy (</w:t>
      </w:r>
      <m:oMath>
        <m:r>
          <m:t>0.238</m:t>
        </m:r>
        <m:r>
          <m:rPr>
            <m:sty m:val="p"/>
          </m:rPr>
          <m:t>→</m:t>
        </m:r>
        <m:r>
          <m:t>0.126</m:t>
        </m:r>
      </m:oMath>
      <w:r>
        <w:t xml:space="preserve">); reliability weighting gives each broken judge weight</w:t>
      </w:r>
      <w:r>
        <w:t xml:space="preserve"> </w:t>
      </w:r>
      <m:oMath>
        <m:r>
          <m:t>0.000</m:t>
        </m:r>
      </m:oMath>
      <w:r>
        <w:t xml:space="preserve"> </w:t>
      </w:r>
      <w:r>
        <w:t xml:space="preserve">from peer</w:t>
      </w:r>
      <w:r>
        <w:t xml:space="preserve"> </w:t>
      </w:r>
      <w:r>
        <w:t xml:space="preserve">agreement alone and restores</w:t>
      </w:r>
      <w:r>
        <w:t xml:space="preserve"> </w:t>
      </w:r>
      <m:oMath>
        <m:r>
          <m:t>0.228</m:t>
        </m:r>
      </m:oMath>
      <w:r>
        <w:t xml:space="preserve">. A single judge has no internal check to fall back on.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5.7)</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the rogue judge receiving weight</w:t>
      </w:r>
      <w:r>
        <w:t xml:space="preserve"> </w:t>
      </w:r>
      <m:oMath>
        <m:r>
          <m:t>0.00</m:t>
        </m:r>
      </m:oMath>
      <w:r>
        <w:t xml:space="preserve">.</w:t>
      </w:r>
    </w:p>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m:oMath>
        <m:r>
          <m:t>r</m:t>
        </m:r>
      </m:oMath>
      <w:r>
        <w:rPr>
          <w:b/>
          <w:i/>
        </w:rPr>
        <w:t>Table 4.</w:t>
      </w:r>
      <w:r>
        <w:rPr>
          <w:b w:val="0"/>
          <w:i/>
        </w:rPr>
        <w:t xml:space="preserve"> </w:t>
      </w:r>
      <w:r>
        <w:rPr>
          <w:b w:val="0"/>
          <w:i/>
        </w:rPr>
        <w:t>Verbosity bias (Pearson  between response length and score) for representative individual judges versus the CoEval ensemble. The ensemble CI includes zero.</w:t>
      </w:r>
    </w:p>
    <w:tbl>
      <w:tblPr>
        <w:tblStyle w:val="Table"/>
        <w:tblW w:type="pct" w:w="5000"/>
        <w:jc w:val="center"/>
        <w:tblLook w:firstRow="1" w:lastRow="0" w:firstColumn="0" w:lastColumn="0" w:noHBand="0" w:noVBand="0" w:val="0020"/>
        <w:tblCaption w:val="Table 4.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Length-bias</w:t>
            </w:r>
            <w:r>
              <w:rPr>
                <w:rFonts w:ascii="Georgia" w:hAnsi="Georgia"/>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Panel mean</w:t>
            </w:r>
            <w:r>
              <w:rPr>
                <w:rFonts w:ascii="Georgia" w:hAnsi="Georgia"/>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r</m:t>
        </m:r>
        <m:r>
          <m:rPr>
            <m:sty m:val="p"/>
          </m:rPr>
          <m:t>=</m:t>
        </m:r>
        <m:r>
          <m:rPr>
            <m:sty m:val="p"/>
          </m:rPr>
          <m:t>+</m:t>
        </m:r>
        <m:r>
          <m:t>0.010</m:t>
        </m:r>
      </m:oMath>
      <w:r>
        <w:rPr>
          <w:b/>
          <w:i/>
        </w:rPr>
        <w:t>Figure 4.</w:t>
      </w:r>
      <w:r>
        <w:rPr>
          <w:b w:val="0"/>
          <w:i/>
        </w:rPr>
        <w:t xml:space="preserve"> </w:t>
      </w:r>
      <w:r>
        <w:rPr>
          <w:b w:val="0"/>
          <w:i/>
        </w:rPr>
        <w:t>Verbosity bias by judge. Each judge's Pearson correlation between response length and score (point) with its 95% bootstrap CI; the ensemble (green) sits at  with a CI spanning zero. Mixed-sign per-judge biases cancel under averaging.</w:t>
      </w:r>
    </w:p>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falls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5.7)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0.016</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Finding (self-preference).</w:t>
      </w:r>
      <w:r>
        <w:t xml:space="preserve"> </w:t>
      </w:r>
      <w:r>
        <w:t xml:space="preserve">CoEval's vendor-disjoint panel structurally precludes a model from judging</w:t>
      </w:r>
      <w:r>
        <w:t xml:space="preserve"> </w:t>
      </w:r>
      <w:r>
        <w:t xml:space="preserve">its own family. The measured residual same-family preference is small and inconsistent in sign across three verticals</w:t>
      </w:r>
      <w:r>
        <w:t xml:space="preserve"> </w:t>
      </w:r>
      <w:r>
        <w:t xml:space="preserve">(</w:t>
      </w:r>
      <m:oMath>
        <m:r>
          <m:rPr>
            <m:sty m:val="p"/>
          </m:rPr>
          <m:t>|</m:t>
        </m:r>
        <m:r>
          <m:rPr>
            <m:nor/>
            <m:sty m:val="p"/>
          </m:rPr>
          <m:t>effect</m:t>
        </m:r>
        <m:r>
          <m:rPr>
            <m:sty m:val="p"/>
          </m:rPr>
          <m:t>|</m:t>
        </m:r>
        <m:r>
          <m:rPr>
            <m:sty m:val="p"/>
          </m:rPr>
          <m:t>≤</m:t>
        </m:r>
        <m:r>
          <m:t>0.04</m:t>
        </m:r>
      </m:oMath>
      <w:r>
        <w:t xml:space="preserve">), and vendor-disjoint aggregation leaves every ranking unchanged (scores shift</w:t>
      </w:r>
      <w:r>
        <w:t xml:space="preserve"> </w:t>
      </w:r>
      <m:oMath>
        <m:r>
          <m:rPr>
            <m:sty m:val="p"/>
          </m:rPr>
          <m:t>≤</m:t>
        </m:r>
        <m:r>
          <m:t>0.016</m:t>
        </m:r>
      </m:oMath>
      <w:r>
        <w:t xml:space="preserve">): the cross-family design neutralizes self-preference by construction.</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p>
      <w:pPr>
        <w:pStyle w:val="BodyText"/>
        <w:jc w:val="both"/>
        <w:keepNext w:val="0"/>
        <w:keepLines w:val="0"/>
        <w:widowControl w:val="1"/>
      </w:pPr>
      <w:r>
        <w:rPr>
          <w:b/>
          <w:bCs/>
        </w:rPr>
        <w:t xml:space="preserve">Finding (contamination).</w:t>
      </w:r>
      <w:r>
        <w:t xml:space="preserve"> </w:t>
      </w:r>
      <w:r>
        <w:t xml:space="preserve">A static benchmark of memorized public items ranks a</w:t>
      </w:r>
      <w:r>
        <w:t xml:space="preserve"> </w:t>
      </w:r>
      <m:oMath>
        <m:r>
          <m:t>0.5</m:t>
        </m:r>
      </m:oMath>
      <w:r>
        <w:t xml:space="preserve">B memorizer</w:t>
      </w:r>
      <w:r>
        <w:t xml:space="preserve"> </w:t>
      </w:r>
      <w:r>
        <w:rPr>
          <w:i/>
          <w:iCs/>
        </w:rPr>
        <w:t xml:space="preserve">above</w:t>
      </w:r>
      <w:r>
        <w:t xml:space="preserve"> </w:t>
      </w:r>
      <w:r>
        <w:rPr>
          <w:rStyle w:val="VerbatimChar"/>
        </w:rPr>
        <w:t xml:space="preserve">gpt-4o-mini</w:t>
      </w:r>
      <w:r>
        <w:t xml:space="preserve"> </w:t>
      </w:r>
      <w:r>
        <w:t xml:space="preserve">(</w:t>
      </w:r>
      <m:oMath>
        <m:r>
          <m:t>1.00</m:t>
        </m:r>
      </m:oMath>
      <w:r>
        <w:t xml:space="preserve"> </w:t>
      </w:r>
      <w:r>
        <w:t xml:space="preserve">vs</w:t>
      </w:r>
      <w:r>
        <w:t xml:space="preserve"> </w:t>
      </w:r>
      <m:oMath>
        <m:r>
          <m:t>0.845</m:t>
        </m:r>
      </m:oMath>
      <w:r>
        <w:t xml:space="preserve">); on fresh items of the same capability the order inverts to</w:t>
      </w:r>
      <w:r>
        <w:t xml:space="preserve"> </w:t>
      </w:r>
      <w:r>
        <w:t xml:space="preserve">the correct one (</w:t>
      </w:r>
      <w:r>
        <w:rPr>
          <w:rStyle w:val="VerbatimChar"/>
        </w:rPr>
        <w:t xml:space="preserve">gpt-4o-mini</w:t>
      </w:r>
      <w:r>
        <w:t xml:space="preserve"> </w:t>
      </w:r>
      <m:oMath>
        <m:r>
          <m:t>0.81</m:t>
        </m:r>
        <m:r>
          <m:rPr>
            <m:sty m:val="p"/>
          </m:rPr>
          <m:t>&gt;</m:t>
        </m:r>
      </m:oMath>
      <w:r>
        <w:t xml:space="preserve"> </w:t>
      </w:r>
      <w:r>
        <w:t xml:space="preserve">memorizer</w:t>
      </w:r>
      <w:r>
        <w:t xml:space="preserve"> </w:t>
      </w:r>
      <m:oMath>
        <m:r>
          <m:t>0.74</m:t>
        </m:r>
      </m:oMath>
      <w:r>
        <w:t xml:space="preserve">). CoEval-generated items additionally show</w:t>
      </w:r>
      <w:r>
        <w:t xml:space="preserve"> </w:t>
      </w:r>
      <m:oMath>
        <m:r>
          <m:t>0.0000</m:t>
        </m:r>
      </m:oMath>
      <w:r>
        <w:t xml:space="preserve"> </w:t>
      </w:r>
      <w:r>
        <w:t xml:space="preserve">verbatim 13-gram overlap with five major public benchmarks, so they cannot be gamed this way.</w:t>
      </w:r>
    </w:p>
    <w:bookmarkEnd w:id="37"/>
    <w:bookmarkStart w:id="38" w:name="cost"/>
    <w:p>
      <w:pPr>
        <w:pStyle w:val="Heading3"/>
        <w:keepNext/>
        <w:keepLines/>
        <w:widowControl w:val="1"/>
      </w:pPr>
      <w:r>
        <w:t xml:space="preserve">5.6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 At roughly</w:t>
      </w:r>
      <w:r>
        <w:t xml:space="preserve"> </w:t>
      </w:r>
      <m:oMath>
        <m:r>
          <m:t>1</m:t>
        </m:r>
        <m:r>
          <m:rPr>
            <m:sty m:val="p"/>
          </m:rPr>
          <m:t>,</m:t>
        </m:r>
        <m:r>
          <m:t>350</m:t>
        </m:r>
      </m:oMath>
      <w:r>
        <w:t xml:space="preserve"> </w:t>
      </w:r>
      <w:r>
        <w:t xml:space="preserve">evaluations per dollar, CoEval runs two to three</w:t>
      </w:r>
      <w:r>
        <w:t xml:space="preserve"> </w:t>
      </w:r>
      <w:r>
        <w:t xml:space="preserve">orders of magnitude cheaper than typical human annotation (</w:t>
      </w:r>
      <w:hyperlink w:anchor="appC">
        <w:r>
          <w:rPr>
            <w:rStyle w:val="Hyperlink"/>
          </w:rPr>
          <w:t xml:space="preserve">Appendix C</w:t>
        </w:r>
      </w:hyperlink>
      <w:r>
        <w:t xml:space="preserve">).</w:t>
      </w:r>
    </w:p>
    <w:bookmarkEnd w:id="38"/>
    <w:bookmarkStart w:id="39" w:name="putting-it-together-domain-case-studies"/>
    <w:p>
      <w:pPr>
        <w:pStyle w:val="Heading3"/>
        <w:keepNext/>
        <w:keepLines/>
        <w:widowControl w:val="1"/>
      </w:pPr>
      <w:r>
        <w:t xml:space="preserve">5.7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D">
        <w:r>
          <w:rPr>
            <w:rStyle w:val="Hyperlink"/>
          </w:rPr>
          <w:t xml:space="preserve">Appendix D</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5).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pStyle w:val="BodyText"/>
        <w:jc w:val="both"/>
        <w:keepNext w:val="0"/>
        <w:keepLines w:val="0"/>
        <w:widowControl w:val="1"/>
      </w:pPr>
      <w:r>
        <w:rPr>
          <w:b/>
          <w:bCs/>
        </w:rPr>
        <w:t xml:space="preserve">Finding (discriminative generation).</w:t>
      </w:r>
      <w:r>
        <w:t xml:space="preserve"> </w:t>
      </w:r>
      <w:r>
        <w:t xml:space="preserve">A good teacher generates items that separate the models. On the</w:t>
      </w:r>
      <w:r>
        <w:t xml:space="preserve"> </w:t>
      </w:r>
      <m:oMath>
        <m:r>
          <m:t>120</m:t>
        </m:r>
      </m:oMath>
      <w:r>
        <w:t xml:space="preserve"> </w:t>
      </w:r>
      <w:r>
        <w:t xml:space="preserve">CoEval-generated vertical items,</w:t>
      </w:r>
      <w:r>
        <w:t xml:space="preserve"> </w:t>
      </w:r>
      <m:oMath>
        <m:r>
          <m:t>71</m:t>
        </m:r>
        <m:r>
          <m:rPr>
            <m:sty m:val="p"/>
          </m:rPr>
          <m:t>%</m:t>
        </m:r>
      </m:oMath>
      <w:r>
        <w:t xml:space="preserve"> </w:t>
      </w:r>
      <w:r>
        <w:t xml:space="preserve">are discriminative (candidate-score range</w:t>
      </w:r>
      <w:r>
        <w:t xml:space="preserve"> </w:t>
      </w:r>
      <m:oMath>
        <m:r>
          <m:rPr>
            <m:sty m:val="p"/>
          </m:rPr>
          <m:t>≥</m:t>
        </m:r>
        <m:r>
          <m:t>0.15</m:t>
        </m:r>
      </m:oMath>
      <w:r>
        <w:t xml:space="preserve">, mean range</w:t>
      </w:r>
      <w:r>
        <w:t xml:space="preserve"> </w:t>
      </w:r>
      <m:oMath>
        <m:r>
          <m:t>0.33</m:t>
        </m:r>
      </m:oMath>
      <w:r>
        <w:t xml:space="preserve">),</w:t>
      </w:r>
      <w:r>
        <w:t xml:space="preserve"> </w:t>
      </w:r>
      <w:r>
        <w:t xml:space="preserve">and the fraction tracks the true model separation (drug-interaction</w:t>
      </w:r>
      <w:r>
        <w:t xml:space="preserve"> </w:t>
      </w:r>
      <m:oMath>
        <m:r>
          <m:t>78</m:t>
        </m:r>
        <m:r>
          <m:rPr>
            <m:sty m:val="p"/>
          </m:rPr>
          <m:t>%</m:t>
        </m:r>
      </m:oMath>
      <w:r>
        <w:t xml:space="preserve">, legal</w:t>
      </w:r>
      <w:r>
        <w:t xml:space="preserve"> </w:t>
      </w:r>
      <m:oMath>
        <m:r>
          <m:t>85</m:t>
        </m:r>
        <m:r>
          <m:rPr>
            <m:sty m:val="p"/>
          </m:rPr>
          <m:t>%</m:t>
        </m:r>
      </m:oMath>
      <w:r>
        <w:t xml:space="preserve">, clinical</w:t>
      </w:r>
      <w:r>
        <w:t xml:space="preserve"> </w:t>
      </w:r>
      <m:oMath>
        <m:r>
          <m:t>50</m:t>
        </m:r>
        <m:r>
          <m:rPr>
            <m:sty m:val="p"/>
          </m:rPr>
          <m:t>%</m:t>
        </m:r>
      </m:oMath>
      <w:r>
        <w:t xml:space="preserve"> </w:t>
      </w:r>
      <w:r>
        <w:t xml:space="preserve">where two</w:t>
      </w:r>
      <w:r>
        <w:t xml:space="preserve"> </w:t>
      </w:r>
      <w:r>
        <w:t xml:space="preserve">models are genuinely close), so the generated benchmark carries the ranking signal a saturated benchmark lacks.</w:t>
      </w:r>
    </w:p>
    <w:p>
      <w:pPr>
        <w:pStyle w:val="TableCaption"/>
        <w:spacing w:before="240" w:after="60" w:line="240" w:lineRule="auto"/>
        <w:jc w:val="center"/>
        <w:keepNext/>
        <w:keepLines/>
        <w:widowControl w:val="1"/>
      </w:pPr>
      <m:oMath>
        <m:r>
          <m:rPr>
            <m:sty m:val="p"/>
          </m:rPr>
          <m:t>[</m:t>
        </m:r>
        <m:r>
          <m:t>0</m:t>
        </m:r>
        <m:r>
          <m:rPr>
            <m:sty m:val="p"/>
          </m:rPr>
          <m:t>,</m:t>
        </m:r>
        <m:r>
          <m:t>1</m:t>
        </m:r>
        <m:r>
          <m:rPr>
            <m:sty m:val="p"/>
          </m:rPr>
          <m:t>]</m:t>
        </m:r>
      </m:oMath>
      <m:oMath>
        <m:r>
          <m:t>40</m:t>
        </m:r>
      </m:oMath>
      <w:r>
        <w:rPr>
          <w:b/>
          <w:i/>
        </w:rPr>
        <w:t>Table 5.</w:t>
      </w:r>
      <w:r>
        <w:rPr>
          <w:b w:val="0"/>
          <w:i/>
        </w:rPr>
        <w:t xml:space="preserve"> </w:t>
      </w:r>
      <w:r>
        <w:rPr>
          <w:b w:val="0"/>
          <w:i/>
        </w:rPr>
        <w:t>CoEval ranks three candidate models on three custom, contamination-free verticals generated from a task description with no labeled data. Scores are the cross-family ensemble mean () with 95% bootstrap CI over  generated items. llama-3.2-3b ranks weakest in every vertical; the three judges 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5.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Vertical / 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CoEval ensemble score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Drug–drug interaction reasoning</w:t>
            </w:r>
            <w:r>
              <w:rPr>
                <w:rFonts w:ascii="Georgia" w:hAnsi="Georgia"/>
                <w:sz w:val="20"/>
              </w:rPr>
              <w:t xml:space="preserve"> </w:t>
            </w:r>
            <w:r>
              <w:rPr>
                <w:rFonts w:ascii="Georgia" w:hAnsi="Georgia"/>
                <w:sz w:val="20"/>
              </w:rPr>
              <w:t xml:space="preserve">(judges unanimous)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0.770 [0.739, 0.800]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0.682 [0.646, 0.717]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0.497 [0.459, 0.532]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Clinical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0.873 [0.849, 0.895]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0.864 [0.840, 0.885]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0.814 [0.784, 0.844]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Legal analysis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0.982 [0.973, 0.991]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0.740 [0.709, 0.770]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  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0.709 [0.677, 0.744]</w:t>
            </w:r>
          </w:p>
        </w:tc>
      </w:tr>
    </w:tbl>
    <w:bookmarkEnd w:id="39"/>
    <w:bookmarkStart w:id="40" w:name="X5b909f8979da9f44974797188bca91411bc1d26"/>
    <w:p>
      <w:pPr>
        <w:pStyle w:val="Heading3"/>
        <w:keepNext/>
        <w:keepLines/>
        <w:widowControl w:val="1"/>
      </w:pPr>
      <w:r>
        <w:t xml:space="preserve">5.8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 for USD 0.83.</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6).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pStyle w:val="BodyText"/>
        <w:jc w:val="both"/>
        <w:keepNext w:val="0"/>
        <w:keepLines w:val="0"/>
        <w:widowControl w:val="1"/>
      </w:pPr>
      <w:r>
        <w:rPr>
          <w:b/>
          <w:bCs/>
        </w:rPr>
        <w:t xml:space="preserve">Finding (domain-specific ranking).</w:t>
      </w:r>
      <w:r>
        <w:t xml:space="preserve"> </w:t>
      </w:r>
      <w:r>
        <w:t xml:space="preserve">Across four de-novo domains scored by one vendor-disjoint panel</w:t>
      </w:r>
      <w:r>
        <w:t xml:space="preserve"> </w:t>
      </w:r>
      <w:r>
        <w:t xml:space="preserve">(</w:t>
      </w:r>
      <m:oMath>
        <m:r>
          <m:t>1</m:t>
        </m:r>
        <m:r>
          <m:rPr>
            <m:sty m:val="p"/>
          </m:rPr>
          <m:t>,</m:t>
        </m:r>
        <m:r>
          <m:t>800</m:t>
        </m:r>
      </m:oMath>
      <w:r>
        <w:t xml:space="preserve"> </w:t>
      </w:r>
      <w:r>
        <w:t xml:space="preserve">evaluations), three different models take first place and the mean cross-domain rank agreement is weak</w:t>
      </w:r>
      <w:r>
        <w:t xml:space="preserve"> </w:t>
      </w:r>
      <w:r>
        <w:t xml:space="preserve">(Kendall </w:t>
      </w:r>
      <m:oMath>
        <m:r>
          <m:t>τ</m:t>
        </m:r>
        <m:r>
          <m:rPr>
            <m:sty m:val="p"/>
          </m:rPr>
          <m:t>=</m:t>
        </m:r>
        <m:r>
          <m:t>0.19</m:t>
        </m:r>
      </m:oMath>
      <w:r>
        <w:t xml:space="preserve">); the winners are bootstrap-stable (</w:t>
      </w:r>
      <m:oMath>
        <m:r>
          <m:t>P</m:t>
        </m:r>
        <m:r>
          <m:rPr>
            <m:sty m:val="p"/>
          </m:rPr>
          <m:t>(</m:t>
        </m:r>
        <m:r>
          <m:rPr>
            <m:nor/>
            <m:sty m:val="p"/>
          </m:rPr>
          <m:t>top</m:t>
        </m:r>
        <m:r>
          <m:rPr>
            <m:sty m:val="p"/>
          </m:rPr>
          <m:t>)</m:t>
        </m:r>
        <m:r>
          <m:rPr>
            <m:sty m:val="p"/>
          </m:rPr>
          <m:t>=</m:t>
        </m:r>
        <m:r>
          <m:t>0.88</m:t>
        </m:r>
      </m:oMath>
      <w:r>
        <w:t xml:space="preserve">–</w:t>
      </w:r>
      <m:oMath>
        <m:r>
          <m:t>1.00</m:t>
        </m:r>
      </m:oMath>
      <w:r>
        <w:t xml:space="preserve">). A generic</w:t>
      </w:r>
      <w:r>
        <w:t xml:space="preserve"> </w:t>
      </w:r>
      <w:r>
        <w:t xml:space="preserve">leaderboard that pools the domains crowns a model that is domain-best in only one of the four, so a single number</w:t>
      </w:r>
      <w:r>
        <w:t xml:space="preserve"> </w:t>
      </w:r>
      <w:r>
        <w:t xml:space="preserve">misdirects three of four domain practitioners. Domain-specific evaluation is the operation CoEval is built to perform.</w:t>
      </w:r>
    </w:p>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m:oMath>
        <m:r>
          <m:t>1</m:t>
        </m:r>
      </m:oMath>
      <m:oMath>
        <m:r>
          <m:t>1</m:t>
        </m:r>
      </m:oMath>
      <m:oMath>
        <m:r>
          <m:t>5</m:t>
        </m:r>
      </m:oMath>
      <m:oMath>
        <m:r>
          <m:t>5</m:t>
        </m:r>
      </m:oMath>
      <m:oMath>
        <m:r>
          <m:t>1</m:t>
        </m:r>
      </m:oMath>
      <w:r>
        <w:rPr>
          <w:b/>
          <w:i/>
        </w:rPr>
        <w:t>Table 6.</w:t>
      </w:r>
      <w:r>
        <w:rPr>
          <w:b w:val="0"/>
          <w:i/>
        </w:rPr>
        <w:t xml:space="preserve"> </w:t>
      </w:r>
      <w:r>
        <w:rPr>
          <w:b w:val="0"/>
          <w:i/>
        </w:rPr>
        <w:t>The same six candidate models ranked by the same cross-family panel on four CoEval-generated domains diverge: each cell is the model's rank ( = best) in that domain, rows ordered by the generic pooled leaderboard. Three distinct models win the four domains (highlighted), and the pooled-best model (gemini-flash) is domain-best in only one. gpt-4o-mini swings from st to th and claude-3.5-haiku from th to st across domains.</w:t>
      </w:r>
    </w:p>
    <w:tbl>
      <w:tblPr>
        <w:tblStyle w:val="Table"/>
        <w:tblW w:type="pct" w:w="5000"/>
        <w:jc w:val="center"/>
        <w:tblLook w:firstRow="1" w:lastRow="0" w:firstColumn="0" w:lastColumn="0" w:noHBand="0" w:noVBand="0" w:val="0020"/>
        <w:tblCaption w:val="Table 6.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Pooled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Clinical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Code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Legal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Math</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claude-3.5-haiku</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qwen-2.5-7b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llama-3.1-8b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6</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Georgia" w:hAnsi="Georgia"/>
                <w:sz w:val="20"/>
              </w:rPr>
              <w:t xml:space="preserve">gpt-3.5-turbo</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3</w:t>
            </w:r>
          </w:p>
        </w:tc>
      </w:tr>
    </w:tbl>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40"/>
    <w:bookmarkEnd w:id="41"/>
    <w:bookmarkStart w:id="42"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5.7) we rely on the cross-family</w:t>
      </w:r>
      <w:r>
        <w:t xml:space="preserve"> </w:t>
      </w:r>
      <w:r>
        <w:t xml:space="preserve">ensemble and report intervals rather than a held-out gold ranking, because by assumption none exists. We study up to</w:t>
      </w:r>
      <w:r>
        <w:t xml:space="preserve"> </w:t>
      </w:r>
      <w:r>
        <w:t xml:space="preserve">thirteen candidate models across four exact-match QA tasks, three custom verticals, a four-domain divergence study</w:t>
      </w:r>
      <w:r>
        <w:t xml:space="preserve"> </w:t>
      </w:r>
      <w:r>
        <w:t xml:space="preserve">(Section 5.8), and a thirteen-model rank-recovery check (Section 5.2); broader model pools and additional</w:t>
      </w:r>
      <w:r>
        <w:t xml:space="preserve"> </w:t>
      </w:r>
      <w:r>
        <w:t xml:space="preserve">domains would further test generality. The contamination guarantee is structural (fresh per-run synthesis), validated both by zero verbatim</w:t>
      </w:r>
      <w:r>
        <w:t xml:space="preserve"> </w:t>
      </w:r>
      <w:r>
        <w:t xml:space="preserve">overlap and by a controlled memorization study (Section 5.5); a verbatim n-gram test is not a membership test</w:t>
      </w:r>
      <w:r>
        <w:t xml:space="preserve"> </w:t>
      </w:r>
      <w:r>
        <w:t xml:space="preserve">against any model's full pretraining corpus.</w:t>
      </w:r>
    </w:p>
    <w:bookmarkEnd w:id="42"/>
    <w:bookmarkStart w:id="43"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tool for ranking language models on custom tasks and domains when neither labeled data nor a trustworthy benchmark is available: from a task description alone it generates a fresh, contamination-resistant benchmark and ranks candidate models with a cross-family judge ensemble,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Because the same declarative pipeline runs</w:t>
      </w:r>
      <w:r>
        <w:t xml:space="preserve"> </w:t>
      </w:r>
      <w:r>
        <w:t xml:space="preserve">unchanged across models and domains and is cheap enough to repeat on every model release, CoEval is a reusable</w:t>
      </w:r>
      <w:r>
        <w:t xml:space="preserve"> </w:t>
      </w:r>
      <w:r>
        <w:t xml:space="preserve">instrument a team points at its own application when neither labeled data nor a trustworthy benchmark exists, rather</w:t>
      </w:r>
      <w:r>
        <w:t xml:space="preserve"> </w:t>
      </w:r>
      <w:r>
        <w:t xml:space="preserve">than a single static study. CoEval is open-source and fully reproducible.</w:t>
      </w:r>
    </w:p>
    <w:bookmarkEnd w:id="43"/>
    <w:bookmarkStart w:id="110" w:name="references"/>
    <w:p>
      <w:pPr>
        <w:pStyle w:val="ReferencesHeading"/>
        <w:jc w:val="left"/>
        <w:keepNext/>
        <w:keepLines/>
        <w:widowControl w:val="1"/>
      </w:pPr>
      <w:r>
        <w:t xml:space="preserve">References</w:t>
      </w:r>
    </w:p>
    <w:p>
      <w:pPr>
        <w:pStyle w:val="ReferenceEntry"/>
        <w:numPr>
          <w:ilvl w:val="0"/>
          <w:numId w:val="1002"/>
        </w:numPr>
        <w:spacing w:after="60"/>
        <w:ind w:left="360" w:hanging="259"/>
        <w:jc w:val="left"/>
        <w:keepNext w:val="0"/>
        <w:keepLines w:val="0"/>
        <w:widowControl w:val="1"/>
      </w:pPr>
      <w:r>
        <w:rPr>
          <w:rFonts w:ascii="Georgia" w:hAnsi="Georgia"/>
          <w:sz w:val="18"/>
        </w:rPr>
        <w:t xml:space="preserve">1. </w:t>
      </w:r>
      <w:bookmarkStart w:id="45"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4">
        <w:r>
          <w:rPr>
            <w:rStyle w:val="Hyperlink"/>
          </w:rPr>
          <w:t xml:space="preserve">arxiv.org/abs/2306.05685</w:t>
        </w:r>
      </w:hyperlink>
      <w:bookmarkEnd w:id="45"/>
    </w:p>
    <w:p>
      <w:pPr>
        <w:pStyle w:val="ReferenceEntry"/>
        <w:numPr>
          <w:ilvl w:val="0"/>
          <w:numId w:val="1002"/>
        </w:numPr>
        <w:spacing w:after="60"/>
        <w:ind w:left="360" w:hanging="259"/>
        <w:jc w:val="left"/>
        <w:keepNext w:val="0"/>
        <w:keepLines w:val="0"/>
        <w:widowControl w:val="1"/>
      </w:pPr>
      <w:r>
        <w:rPr>
          <w:rFonts w:ascii="Georgia" w:hAnsi="Georgia"/>
          <w:sz w:val="18"/>
        </w:rPr>
        <w:t xml:space="preserve">2. </w:t>
      </w:r>
      <w:bookmarkStart w:id="47"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6">
        <w:r>
          <w:rPr>
            <w:rStyle w:val="Hyperlink"/>
          </w:rPr>
          <w:t xml:space="preserve">arxiv.org/abs/2303.16634</w:t>
        </w:r>
      </w:hyperlink>
      <w:bookmarkEnd w:id="47"/>
    </w:p>
    <w:p>
      <w:pPr>
        <w:pStyle w:val="ReferenceEntry"/>
        <w:numPr>
          <w:ilvl w:val="0"/>
          <w:numId w:val="1002"/>
        </w:numPr>
        <w:spacing w:after="60"/>
        <w:ind w:left="360" w:hanging="259"/>
        <w:jc w:val="left"/>
        <w:keepNext w:val="0"/>
        <w:keepLines w:val="0"/>
        <w:widowControl w:val="1"/>
      </w:pPr>
      <w:r>
        <w:rPr>
          <w:rFonts w:ascii="Georgia" w:hAnsi="Georgia"/>
          <w:sz w:val="18"/>
        </w:rPr>
        <w:t xml:space="preserve">3. </w:t>
      </w:r>
      <w:bookmarkStart w:id="49"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8">
        <w:r>
          <w:rPr>
            <w:rStyle w:val="Hyperlink"/>
          </w:rPr>
          <w:t xml:space="preserve">arxiv.org/abs/2405.01535</w:t>
        </w:r>
      </w:hyperlink>
      <w:bookmarkEnd w:id="49"/>
    </w:p>
    <w:p>
      <w:pPr>
        <w:pStyle w:val="ReferenceEntry"/>
        <w:numPr>
          <w:ilvl w:val="0"/>
          <w:numId w:val="1002"/>
        </w:numPr>
        <w:spacing w:after="60"/>
        <w:ind w:left="360" w:hanging="259"/>
        <w:jc w:val="left"/>
        <w:keepNext w:val="0"/>
        <w:keepLines w:val="0"/>
        <w:widowControl w:val="1"/>
      </w:pPr>
      <w:r>
        <w:rPr>
          <w:rFonts w:ascii="Georgia" w:hAnsi="Georgia"/>
          <w:sz w:val="18"/>
        </w:rPr>
        <w:t xml:space="preserve">4. </w:t>
      </w:r>
      <w:bookmarkStart w:id="51"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50">
        <w:r>
          <w:rPr>
            <w:rStyle w:val="Hyperlink"/>
          </w:rPr>
          <w:t xml:space="preserve">arxiv.org/abs/2407.10817</w:t>
        </w:r>
      </w:hyperlink>
      <w:bookmarkEnd w:id="51"/>
    </w:p>
    <w:p>
      <w:pPr>
        <w:pStyle w:val="ReferenceEntry"/>
        <w:numPr>
          <w:ilvl w:val="0"/>
          <w:numId w:val="1002"/>
        </w:numPr>
        <w:spacing w:after="60"/>
        <w:ind w:left="360" w:hanging="259"/>
        <w:jc w:val="left"/>
        <w:keepNext w:val="0"/>
        <w:keepLines w:val="0"/>
        <w:widowControl w:val="1"/>
      </w:pPr>
      <w:r>
        <w:rPr>
          <w:rFonts w:ascii="Georgia" w:hAnsi="Georgia"/>
          <w:sz w:val="18"/>
        </w:rPr>
        <w:t xml:space="preserve">5. </w:t>
      </w:r>
      <w:bookmarkStart w:id="53"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2">
        <w:r>
          <w:rPr>
            <w:rStyle w:val="Hyperlink"/>
          </w:rPr>
          <w:t xml:space="preserve">arxiv.org/abs/2404.18796</w:t>
        </w:r>
      </w:hyperlink>
      <w:bookmarkEnd w:id="53"/>
    </w:p>
    <w:p>
      <w:pPr>
        <w:pStyle w:val="ReferenceEntry"/>
        <w:numPr>
          <w:ilvl w:val="0"/>
          <w:numId w:val="1002"/>
        </w:numPr>
        <w:spacing w:after="60"/>
        <w:ind w:left="360" w:hanging="259"/>
        <w:jc w:val="left"/>
        <w:keepNext w:val="0"/>
        <w:keepLines w:val="0"/>
        <w:widowControl w:val="1"/>
      </w:pPr>
      <w:r>
        <w:rPr>
          <w:rFonts w:ascii="Georgia" w:hAnsi="Georgia"/>
          <w:sz w:val="18"/>
        </w:rPr>
        <w:t xml:space="preserve">6. </w:t>
      </w:r>
      <w:bookmarkStart w:id="55"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4">
        <w:r>
          <w:rPr>
            <w:rStyle w:val="Hyperlink"/>
          </w:rPr>
          <w:t xml:space="preserve">arxiv.org/abs/2410.12784</w:t>
        </w:r>
      </w:hyperlink>
      <w:bookmarkEnd w:id="55"/>
    </w:p>
    <w:p>
      <w:pPr>
        <w:pStyle w:val="ReferenceEntry"/>
        <w:numPr>
          <w:ilvl w:val="0"/>
          <w:numId w:val="1002"/>
        </w:numPr>
        <w:spacing w:after="60"/>
        <w:ind w:left="360" w:hanging="259"/>
        <w:jc w:val="left"/>
        <w:keepNext w:val="0"/>
        <w:keepLines w:val="0"/>
        <w:widowControl w:val="1"/>
      </w:pPr>
      <w:r>
        <w:rPr>
          <w:rFonts w:ascii="Georgia" w:hAnsi="Georgia"/>
          <w:sz w:val="18"/>
        </w:rPr>
        <w:t xml:space="preserve">7. </w:t>
      </w:r>
      <w:bookmarkStart w:id="57"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6">
        <w:r>
          <w:rPr>
            <w:rStyle w:val="Hyperlink"/>
          </w:rPr>
          <w:t xml:space="preserve">arxiv.org/abs/2406.05761</w:t>
        </w:r>
      </w:hyperlink>
      <w:bookmarkEnd w:id="57"/>
    </w:p>
    <w:p>
      <w:pPr>
        <w:pStyle w:val="ReferenceEntry"/>
        <w:numPr>
          <w:ilvl w:val="0"/>
          <w:numId w:val="1002"/>
        </w:numPr>
        <w:spacing w:after="60"/>
        <w:ind w:left="360" w:hanging="259"/>
        <w:jc w:val="left"/>
        <w:keepNext w:val="0"/>
        <w:keepLines w:val="0"/>
        <w:widowControl w:val="1"/>
      </w:pPr>
      <w:r>
        <w:rPr>
          <w:rFonts w:ascii="Georgia" w:hAnsi="Georgia"/>
          <w:sz w:val="18"/>
        </w:rPr>
        <w:t xml:space="preserve">8. </w:t>
      </w:r>
      <w:bookmarkStart w:id="59"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8">
        <w:r>
          <w:rPr>
            <w:rStyle w:val="Hyperlink"/>
          </w:rPr>
          <w:t xml:space="preserve">arxiv.org/abs/2404.04475</w:t>
        </w:r>
      </w:hyperlink>
      <w:bookmarkEnd w:id="59"/>
    </w:p>
    <w:p>
      <w:pPr>
        <w:pStyle w:val="ReferenceEntry"/>
        <w:numPr>
          <w:ilvl w:val="0"/>
          <w:numId w:val="1002"/>
        </w:numPr>
        <w:spacing w:after="60"/>
        <w:ind w:left="360" w:hanging="259"/>
        <w:jc w:val="left"/>
        <w:keepNext w:val="0"/>
        <w:keepLines w:val="0"/>
        <w:widowControl w:val="1"/>
      </w:pPr>
      <w:r>
        <w:rPr>
          <w:rFonts w:ascii="Georgia" w:hAnsi="Georgia"/>
          <w:sz w:val="18"/>
        </w:rPr>
        <w:t xml:space="preserve">9. </w:t>
      </w:r>
      <w:bookmarkStart w:id="61" w:name="r9"/>
      <w:r>
        <w:t xml:space="preserve">Li, X. L., Kazemi, M., et al. (2024).</w:t>
      </w:r>
      <w:r>
        <w:t xml:space="preserve"> </w:t>
      </w:r>
      <w:r>
        <w:rPr>
          <w:i/>
          <w:iCs/>
        </w:rPr>
        <w:t xml:space="preserve">AutoBencher: Towards Declarative Benchmark Construction.</w:t>
      </w:r>
      <w:r>
        <w:t xml:space="preserve"> </w:t>
      </w:r>
      <w:hyperlink r:id="rId60">
        <w:r>
          <w:rPr>
            <w:rStyle w:val="Hyperlink"/>
          </w:rPr>
          <w:t xml:space="preserve">arxiv.org/abs/2407.08351</w:t>
        </w:r>
      </w:hyperlink>
      <w:bookmarkEnd w:id="61"/>
    </w:p>
    <w:p>
      <w:pPr>
        <w:pStyle w:val="ReferenceEntry"/>
        <w:numPr>
          <w:ilvl w:val="0"/>
          <w:numId w:val="1002"/>
        </w:numPr>
        <w:spacing w:after="60"/>
        <w:ind w:left="360" w:hanging="259"/>
        <w:jc w:val="left"/>
        <w:keepNext w:val="0"/>
        <w:keepLines w:val="0"/>
        <w:widowControl w:val="1"/>
      </w:pPr>
      <w:r>
        <w:rPr>
          <w:rFonts w:ascii="Georgia" w:hAnsi="Georgia"/>
          <w:sz w:val="18"/>
        </w:rPr>
        <w:t xml:space="preserve">10. </w:t>
      </w:r>
      <w:bookmarkStart w:id="63"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2">
        <w:r>
          <w:rPr>
            <w:rStyle w:val="Hyperlink"/>
          </w:rPr>
          <w:t xml:space="preserve">arxiv.org/abs/2410.22584</w:t>
        </w:r>
      </w:hyperlink>
      <w:bookmarkEnd w:id="63"/>
    </w:p>
    <w:p>
      <w:pPr>
        <w:pStyle w:val="ReferenceEntry"/>
        <w:numPr>
          <w:ilvl w:val="0"/>
          <w:numId w:val="1002"/>
        </w:numPr>
        <w:spacing w:after="60"/>
        <w:ind w:left="360" w:hanging="259"/>
        <w:jc w:val="left"/>
        <w:keepNext w:val="0"/>
        <w:keepLines w:val="0"/>
        <w:widowControl w:val="1"/>
      </w:pPr>
      <w:r>
        <w:rPr>
          <w:rFonts w:ascii="Georgia" w:hAnsi="Georgia"/>
          <w:sz w:val="18"/>
        </w:rPr>
        <w:t xml:space="preserve">11. </w:t>
      </w:r>
      <w:bookmarkStart w:id="65" w:name="r11"/>
      <w:r>
        <w:t xml:space="preserve">Shashidhar, S., et al. (2025).</w:t>
      </w:r>
      <w:r>
        <w:t xml:space="preserve"> </w:t>
      </w:r>
      <w:r>
        <w:rPr>
          <w:i/>
          <w:iCs/>
        </w:rPr>
        <w:t xml:space="preserve">YourBench: Easy Custom Evaluation Sets for Everyone.</w:t>
      </w:r>
      <w:r>
        <w:t xml:space="preserve"> </w:t>
      </w:r>
      <w:hyperlink r:id="rId64">
        <w:r>
          <w:rPr>
            <w:rStyle w:val="Hyperlink"/>
          </w:rPr>
          <w:t xml:space="preserve">arxiv.org/abs/2504.01833</w:t>
        </w:r>
      </w:hyperlink>
      <w:bookmarkEnd w:id="65"/>
    </w:p>
    <w:p>
      <w:pPr>
        <w:pStyle w:val="ReferenceEntry"/>
        <w:numPr>
          <w:ilvl w:val="0"/>
          <w:numId w:val="1002"/>
        </w:numPr>
        <w:spacing w:after="60"/>
        <w:ind w:left="360" w:hanging="259"/>
        <w:jc w:val="left"/>
        <w:keepNext w:val="0"/>
        <w:keepLines w:val="0"/>
        <w:widowControl w:val="1"/>
      </w:pPr>
      <w:r>
        <w:rPr>
          <w:rFonts w:ascii="Georgia" w:hAnsi="Georgia"/>
          <w:sz w:val="18"/>
        </w:rPr>
        <w:t xml:space="preserve">12. </w:t>
      </w:r>
      <w:bookmarkStart w:id="67"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6">
        <w:r>
          <w:rPr>
            <w:rStyle w:val="Hyperlink"/>
          </w:rPr>
          <w:t xml:space="preserve">arxiv.org/abs/2405.00332</w:t>
        </w:r>
      </w:hyperlink>
      <w:bookmarkEnd w:id="67"/>
    </w:p>
    <w:p>
      <w:pPr>
        <w:pStyle w:val="ReferenceEntry"/>
        <w:numPr>
          <w:ilvl w:val="0"/>
          <w:numId w:val="1002"/>
        </w:numPr>
        <w:spacing w:after="60"/>
        <w:ind w:left="360" w:hanging="259"/>
        <w:jc w:val="left"/>
        <w:keepNext w:val="0"/>
        <w:keepLines w:val="0"/>
        <w:widowControl w:val="1"/>
      </w:pPr>
      <w:r>
        <w:rPr>
          <w:rFonts w:ascii="Georgia" w:hAnsi="Georgia"/>
          <w:sz w:val="18"/>
        </w:rPr>
        <w:t xml:space="preserve">13. </w:t>
      </w:r>
      <w:bookmarkStart w:id="69" w:name="r13"/>
      <w:r>
        <w:t xml:space="preserve">Xu, C., et al. (2025).</w:t>
      </w:r>
      <w:r>
        <w:t xml:space="preserve"> </w:t>
      </w:r>
      <w:r>
        <w:rPr>
          <w:i/>
          <w:iCs/>
        </w:rPr>
        <w:t xml:space="preserve">Benchmark Data Contamination of Large Language Models: A Survey.</w:t>
      </w:r>
      <w:r>
        <w:t xml:space="preserve"> </w:t>
      </w:r>
      <w:hyperlink r:id="rId68">
        <w:r>
          <w:rPr>
            <w:rStyle w:val="Hyperlink"/>
          </w:rPr>
          <w:t xml:space="preserve">arxiv.org/abs/2502.14425</w:t>
        </w:r>
      </w:hyperlink>
      <w:bookmarkEnd w:id="69"/>
    </w:p>
    <w:p>
      <w:pPr>
        <w:pStyle w:val="ReferenceEntry"/>
        <w:numPr>
          <w:ilvl w:val="0"/>
          <w:numId w:val="1002"/>
        </w:numPr>
        <w:spacing w:after="60"/>
        <w:ind w:left="360" w:hanging="259"/>
        <w:jc w:val="left"/>
        <w:keepNext w:val="0"/>
        <w:keepLines w:val="0"/>
        <w:widowControl w:val="1"/>
      </w:pPr>
      <w:r>
        <w:rPr>
          <w:rFonts w:ascii="Georgia" w:hAnsi="Georgia"/>
          <w:sz w:val="18"/>
        </w:rPr>
        <w:t xml:space="preserve">14. </w:t>
      </w:r>
      <w:bookmarkStart w:id="71"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70">
        <w:r>
          <w:rPr>
            <w:rStyle w:val="Hyperlink"/>
          </w:rPr>
          <w:t xml:space="preserve">arxiv.org/abs/2104.14337</w:t>
        </w:r>
      </w:hyperlink>
      <w:bookmarkEnd w:id="71"/>
    </w:p>
    <w:p>
      <w:pPr>
        <w:pStyle w:val="ReferenceEntry"/>
        <w:numPr>
          <w:ilvl w:val="0"/>
          <w:numId w:val="1002"/>
        </w:numPr>
        <w:spacing w:after="60"/>
        <w:ind w:left="360" w:hanging="259"/>
        <w:jc w:val="left"/>
        <w:keepNext w:val="0"/>
        <w:keepLines w:val="0"/>
        <w:widowControl w:val="1"/>
      </w:pPr>
      <w:r>
        <w:rPr>
          <w:rFonts w:ascii="Georgia" w:hAnsi="Georgia"/>
          <w:sz w:val="18"/>
        </w:rPr>
        <w:t xml:space="preserve">15. </w:t>
      </w:r>
      <w:bookmarkStart w:id="73"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2">
        <w:r>
          <w:rPr>
            <w:rStyle w:val="Hyperlink"/>
          </w:rPr>
          <w:t xml:space="preserve">arxiv.org/abs/2502.01534</w:t>
        </w:r>
      </w:hyperlink>
      <w:bookmarkEnd w:id="73"/>
    </w:p>
    <w:p>
      <w:pPr>
        <w:pStyle w:val="ReferenceEntry"/>
        <w:numPr>
          <w:ilvl w:val="0"/>
          <w:numId w:val="1002"/>
        </w:numPr>
        <w:spacing w:after="60"/>
        <w:ind w:left="360" w:hanging="259"/>
        <w:jc w:val="left"/>
        <w:keepNext w:val="0"/>
        <w:keepLines w:val="0"/>
        <w:widowControl w:val="1"/>
      </w:pPr>
      <w:r>
        <w:rPr>
          <w:rFonts w:ascii="Georgia" w:hAnsi="Georgia"/>
          <w:sz w:val="18"/>
        </w:rPr>
        <w:t xml:space="preserve">16. </w:t>
      </w:r>
      <w:bookmarkStart w:id="75"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4">
        <w:r>
          <w:rPr>
            <w:rStyle w:val="Hyperlink"/>
          </w:rPr>
          <w:t xml:space="preserve">arxiv.org/abs/2508.06709</w:t>
        </w:r>
      </w:hyperlink>
      <w:bookmarkEnd w:id="75"/>
    </w:p>
    <w:p>
      <w:pPr>
        <w:pStyle w:val="ReferenceEntry"/>
        <w:numPr>
          <w:ilvl w:val="0"/>
          <w:numId w:val="1002"/>
        </w:numPr>
        <w:spacing w:after="60"/>
        <w:ind w:left="360" w:hanging="259"/>
        <w:jc w:val="left"/>
        <w:keepNext w:val="0"/>
        <w:keepLines w:val="0"/>
        <w:widowControl w:val="1"/>
      </w:pPr>
      <w:r>
        <w:rPr>
          <w:rFonts w:ascii="Georgia" w:hAnsi="Georgia"/>
          <w:sz w:val="18"/>
        </w:rPr>
        <w:t xml:space="preserve">17. </w:t>
      </w:r>
      <w:bookmarkStart w:id="77"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6">
        <w:r>
          <w:rPr>
            <w:rStyle w:val="Hyperlink"/>
          </w:rPr>
          <w:t xml:space="preserve">arxiv.org/abs/2410.02736</w:t>
        </w:r>
      </w:hyperlink>
      <w:bookmarkEnd w:id="77"/>
    </w:p>
    <w:p>
      <w:pPr>
        <w:pStyle w:val="ReferenceEntry"/>
        <w:numPr>
          <w:ilvl w:val="0"/>
          <w:numId w:val="1002"/>
        </w:numPr>
        <w:spacing w:after="60"/>
        <w:ind w:left="360" w:hanging="259"/>
        <w:jc w:val="left"/>
        <w:keepNext w:val="0"/>
        <w:keepLines w:val="0"/>
        <w:widowControl w:val="1"/>
      </w:pPr>
      <w:r>
        <w:rPr>
          <w:rFonts w:ascii="Georgia" w:hAnsi="Georgia"/>
          <w:sz w:val="18"/>
        </w:rPr>
        <w:t xml:space="preserve">18. </w:t>
      </w:r>
      <w:bookmarkStart w:id="79" w:name="r18"/>
      <w:r>
        <w:t xml:space="preserve">Wataoka, K., Takahashi, T., Ri, R. (2024).</w:t>
      </w:r>
      <w:r>
        <w:t xml:space="preserve"> </w:t>
      </w:r>
      <w:r>
        <w:rPr>
          <w:i/>
          <w:iCs/>
        </w:rPr>
        <w:t xml:space="preserve">Self-Preference Bias in LLM-as-a-Judge.</w:t>
      </w:r>
      <w:r>
        <w:t xml:space="preserve"> </w:t>
      </w:r>
      <w:hyperlink r:id="rId78">
        <w:r>
          <w:rPr>
            <w:rStyle w:val="Hyperlink"/>
          </w:rPr>
          <w:t xml:space="preserve">arxiv.org/abs/2410.21819</w:t>
        </w:r>
      </w:hyperlink>
      <w:bookmarkEnd w:id="79"/>
    </w:p>
    <w:p>
      <w:pPr>
        <w:pStyle w:val="ReferenceEntry"/>
        <w:numPr>
          <w:ilvl w:val="0"/>
          <w:numId w:val="1002"/>
        </w:numPr>
        <w:spacing w:after="60"/>
        <w:ind w:left="360" w:hanging="259"/>
        <w:jc w:val="left"/>
        <w:keepNext w:val="0"/>
        <w:keepLines w:val="0"/>
        <w:widowControl w:val="1"/>
      </w:pPr>
      <w:r>
        <w:rPr>
          <w:rFonts w:ascii="Georgia" w:hAnsi="Georgia"/>
          <w:sz w:val="18"/>
        </w:rPr>
        <w:t xml:space="preserve">19. </w:t>
      </w:r>
      <w:bookmarkStart w:id="81" w:name="r19"/>
      <w:r>
        <w:t xml:space="preserve">Gu, J., Jiang, X., Shi, Z., et al. (2024).</w:t>
      </w:r>
      <w:r>
        <w:t xml:space="preserve"> </w:t>
      </w:r>
      <w:r>
        <w:rPr>
          <w:i/>
          <w:iCs/>
        </w:rPr>
        <w:t xml:space="preserve">A Survey on LLM-as-a-Judge.</w:t>
      </w:r>
      <w:r>
        <w:t xml:space="preserve"> </w:t>
      </w:r>
      <w:hyperlink r:id="rId80">
        <w:r>
          <w:rPr>
            <w:rStyle w:val="Hyperlink"/>
          </w:rPr>
          <w:t xml:space="preserve">arxiv.org/abs/2411.15594</w:t>
        </w:r>
      </w:hyperlink>
      <w:bookmarkEnd w:id="81"/>
    </w:p>
    <w:p>
      <w:pPr>
        <w:pStyle w:val="ReferenceEntry"/>
        <w:numPr>
          <w:ilvl w:val="0"/>
          <w:numId w:val="1002"/>
        </w:numPr>
        <w:spacing w:after="60"/>
        <w:ind w:left="360" w:hanging="259"/>
        <w:jc w:val="left"/>
        <w:keepNext w:val="0"/>
        <w:keepLines w:val="0"/>
        <w:widowControl w:val="1"/>
      </w:pPr>
      <w:r>
        <w:rPr>
          <w:rFonts w:ascii="Georgia" w:hAnsi="Georgia"/>
          <w:sz w:val="18"/>
        </w:rPr>
        <w:t xml:space="preserve">20. </w:t>
      </w:r>
      <w:bookmarkStart w:id="83"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2">
        <w:r>
          <w:rPr>
            <w:rStyle w:val="Hyperlink"/>
          </w:rPr>
          <w:t xml:space="preserve">arxiv.org/abs/2411.16594</w:t>
        </w:r>
      </w:hyperlink>
      <w:bookmarkEnd w:id="83"/>
    </w:p>
    <w:p>
      <w:pPr>
        <w:pStyle w:val="ReferenceEntry"/>
        <w:numPr>
          <w:ilvl w:val="0"/>
          <w:numId w:val="1002"/>
        </w:numPr>
        <w:spacing w:after="60"/>
        <w:ind w:left="360" w:hanging="259"/>
        <w:jc w:val="left"/>
        <w:keepNext w:val="0"/>
        <w:keepLines w:val="0"/>
        <w:widowControl w:val="1"/>
      </w:pPr>
      <w:r>
        <w:rPr>
          <w:rFonts w:ascii="Georgia" w:hAnsi="Georgia"/>
          <w:sz w:val="18"/>
        </w:rPr>
        <w:t xml:space="preserve">21. </w:t>
      </w:r>
      <w:bookmarkStart w:id="85"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4">
        <w:r>
          <w:rPr>
            <w:rStyle w:val="Hyperlink"/>
          </w:rPr>
          <w:t xml:space="preserve">arxiv.org/abs/2308.07201</w:t>
        </w:r>
      </w:hyperlink>
      <w:bookmarkEnd w:id="85"/>
    </w:p>
    <w:p>
      <w:pPr>
        <w:pStyle w:val="ReferenceEntry"/>
        <w:numPr>
          <w:ilvl w:val="0"/>
          <w:numId w:val="1002"/>
        </w:numPr>
        <w:spacing w:after="60"/>
        <w:ind w:left="360" w:hanging="259"/>
        <w:jc w:val="left"/>
        <w:keepNext w:val="0"/>
        <w:keepLines w:val="0"/>
        <w:widowControl w:val="1"/>
      </w:pPr>
      <w:r>
        <w:rPr>
          <w:rFonts w:ascii="Georgia" w:hAnsi="Georgia"/>
          <w:sz w:val="18"/>
        </w:rPr>
        <w:t xml:space="preserve">22. </w:t>
      </w:r>
      <w:bookmarkStart w:id="87"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6">
        <w:r>
          <w:rPr>
            <w:rStyle w:val="Hyperlink"/>
          </w:rPr>
          <w:t xml:space="preserve">arxiv.org/abs/2406.19314</w:t>
        </w:r>
      </w:hyperlink>
      <w:bookmarkEnd w:id="87"/>
    </w:p>
    <w:p>
      <w:pPr>
        <w:pStyle w:val="ReferenceEntry"/>
        <w:numPr>
          <w:ilvl w:val="0"/>
          <w:numId w:val="1002"/>
        </w:numPr>
        <w:spacing w:after="60"/>
        <w:ind w:left="360" w:hanging="259"/>
        <w:jc w:val="left"/>
        <w:keepNext w:val="0"/>
        <w:keepLines w:val="0"/>
        <w:widowControl w:val="1"/>
      </w:pPr>
      <w:r>
        <w:rPr>
          <w:rFonts w:ascii="Georgia" w:hAnsi="Georgia"/>
          <w:sz w:val="18"/>
        </w:rPr>
        <w:t xml:space="preserve">23. </w:t>
      </w:r>
      <w:bookmarkStart w:id="89"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8">
        <w:r>
          <w:rPr>
            <w:rStyle w:val="Hyperlink"/>
          </w:rPr>
          <w:t xml:space="preserve">arxiv.org/abs/2403.07974</w:t>
        </w:r>
      </w:hyperlink>
      <w:bookmarkEnd w:id="89"/>
    </w:p>
    <w:p>
      <w:pPr>
        <w:pStyle w:val="ReferenceEntry"/>
        <w:numPr>
          <w:ilvl w:val="0"/>
          <w:numId w:val="1002"/>
        </w:numPr>
        <w:spacing w:after="60"/>
        <w:ind w:left="360" w:hanging="259"/>
        <w:jc w:val="left"/>
        <w:keepNext w:val="0"/>
        <w:keepLines w:val="0"/>
        <w:widowControl w:val="1"/>
      </w:pPr>
      <w:r>
        <w:rPr>
          <w:rFonts w:ascii="Georgia" w:hAnsi="Georgia"/>
          <w:sz w:val="18"/>
        </w:rPr>
        <w:t xml:space="preserve">24. </w:t>
      </w:r>
      <w:bookmarkStart w:id="91"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90">
        <w:r>
          <w:rPr>
            <w:rStyle w:val="Hyperlink"/>
          </w:rPr>
          <w:t xml:space="preserve">arxiv.org/abs/2504.03846</w:t>
        </w:r>
      </w:hyperlink>
      <w:bookmarkEnd w:id="91"/>
    </w:p>
    <w:p>
      <w:pPr>
        <w:pStyle w:val="ReferenceEntry"/>
        <w:numPr>
          <w:ilvl w:val="0"/>
          <w:numId w:val="1002"/>
        </w:numPr>
        <w:spacing w:after="60"/>
        <w:ind w:left="360" w:hanging="259"/>
        <w:jc w:val="left"/>
        <w:keepNext w:val="0"/>
        <w:keepLines w:val="0"/>
        <w:widowControl w:val="1"/>
      </w:pPr>
      <w:r>
        <w:rPr>
          <w:rFonts w:ascii="Georgia" w:hAnsi="Georgia"/>
          <w:sz w:val="18"/>
        </w:rPr>
        <w:t xml:space="preserve">25. </w:t>
      </w:r>
      <w:bookmarkStart w:id="93"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2">
        <w:r>
          <w:rPr>
            <w:rStyle w:val="Hyperlink"/>
          </w:rPr>
          <w:t xml:space="preserve">arxiv.org/abs/2408.08808</w:t>
        </w:r>
      </w:hyperlink>
      <w:bookmarkEnd w:id="93"/>
    </w:p>
    <w:p>
      <w:pPr>
        <w:pStyle w:val="ReferenceEntry"/>
        <w:numPr>
          <w:ilvl w:val="0"/>
          <w:numId w:val="1002"/>
        </w:numPr>
        <w:spacing w:after="60"/>
        <w:ind w:left="360" w:hanging="259"/>
        <w:jc w:val="left"/>
        <w:keepNext w:val="0"/>
        <w:keepLines w:val="0"/>
        <w:widowControl w:val="1"/>
      </w:pPr>
      <w:r>
        <w:rPr>
          <w:rFonts w:ascii="Georgia" w:hAnsi="Georgia"/>
          <w:sz w:val="18"/>
        </w:rPr>
        <w:t xml:space="preserve">26. </w:t>
      </w:r>
      <w:bookmarkStart w:id="95" w:name="r26"/>
      <w:r>
        <w:t xml:space="preserve">Li, Y., et al. (2025).</w:t>
      </w:r>
      <w:r>
        <w:t xml:space="preserve"> </w:t>
      </w:r>
      <w:r>
        <w:rPr>
          <w:i/>
          <w:iCs/>
        </w:rPr>
        <w:t xml:space="preserve">Leveraging LLMs as Meta-Judges: A Multi-Agent Framework.</w:t>
      </w:r>
      <w:r>
        <w:t xml:space="preserve"> </w:t>
      </w:r>
      <w:hyperlink r:id="rId94">
        <w:r>
          <w:rPr>
            <w:rStyle w:val="Hyperlink"/>
          </w:rPr>
          <w:t xml:space="preserve">arxiv.org/abs/2504.17087</w:t>
        </w:r>
      </w:hyperlink>
      <w:bookmarkEnd w:id="95"/>
    </w:p>
    <w:p>
      <w:pPr>
        <w:pStyle w:val="ReferenceEntry"/>
        <w:numPr>
          <w:ilvl w:val="0"/>
          <w:numId w:val="1002"/>
        </w:numPr>
        <w:spacing w:after="60"/>
        <w:ind w:left="360" w:hanging="259"/>
        <w:jc w:val="left"/>
        <w:keepNext w:val="0"/>
        <w:keepLines w:val="0"/>
        <w:widowControl w:val="1"/>
      </w:pPr>
      <w:r>
        <w:rPr>
          <w:rFonts w:ascii="Georgia" w:hAnsi="Georgia"/>
          <w:sz w:val="18"/>
        </w:rPr>
        <w:t xml:space="preserve">27. </w:t>
      </w:r>
      <w:bookmarkStart w:id="97"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6">
        <w:r>
          <w:rPr>
            <w:rStyle w:val="Hyperlink"/>
          </w:rPr>
          <w:t xml:space="preserve">arxiv.org/abs/2602.16610</w:t>
        </w:r>
      </w:hyperlink>
      <w:bookmarkEnd w:id="97"/>
    </w:p>
    <w:p>
      <w:pPr>
        <w:pStyle w:val="ReferenceEntry"/>
        <w:numPr>
          <w:ilvl w:val="0"/>
          <w:numId w:val="1002"/>
        </w:numPr>
        <w:spacing w:after="60"/>
        <w:ind w:left="360" w:hanging="259"/>
        <w:jc w:val="left"/>
        <w:keepNext w:val="0"/>
        <w:keepLines w:val="0"/>
        <w:widowControl w:val="1"/>
      </w:pPr>
      <w:r>
        <w:rPr>
          <w:rFonts w:ascii="Georgia" w:hAnsi="Georgia"/>
          <w:sz w:val="18"/>
        </w:rPr>
        <w:t xml:space="preserve">28. </w:t>
      </w:r>
      <w:bookmarkStart w:id="99"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8">
        <w:r>
          <w:rPr>
            <w:rStyle w:val="Hyperlink"/>
          </w:rPr>
          <w:t xml:space="preserve">arxiv.org/abs/2603.00039</w:t>
        </w:r>
      </w:hyperlink>
      <w:bookmarkEnd w:id="99"/>
    </w:p>
    <w:p>
      <w:pPr>
        <w:pStyle w:val="ReferenceEntry"/>
        <w:numPr>
          <w:ilvl w:val="0"/>
          <w:numId w:val="1002"/>
        </w:numPr>
        <w:spacing w:after="60"/>
        <w:ind w:left="360" w:hanging="259"/>
        <w:jc w:val="left"/>
        <w:keepNext w:val="0"/>
        <w:keepLines w:val="0"/>
        <w:widowControl w:val="1"/>
      </w:pPr>
      <w:r>
        <w:rPr>
          <w:rFonts w:ascii="Georgia" w:hAnsi="Georgia"/>
          <w:sz w:val="18"/>
        </w:rPr>
        <w:t xml:space="preserve">29. </w:t>
      </w:r>
      <w:bookmarkStart w:id="101"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100">
        <w:r>
          <w:rPr>
            <w:rStyle w:val="Hyperlink"/>
          </w:rPr>
          <w:t xml:space="preserve">arxiv.org/abs/2601.21817</w:t>
        </w:r>
      </w:hyperlink>
      <w:bookmarkEnd w:id="101"/>
    </w:p>
    <w:p>
      <w:pPr>
        <w:pStyle w:val="ReferenceEntry"/>
        <w:numPr>
          <w:ilvl w:val="0"/>
          <w:numId w:val="1002"/>
        </w:numPr>
        <w:spacing w:after="60"/>
        <w:ind w:left="360" w:hanging="259"/>
        <w:jc w:val="left"/>
        <w:keepNext w:val="0"/>
        <w:keepLines w:val="0"/>
        <w:widowControl w:val="1"/>
      </w:pPr>
      <w:r>
        <w:rPr>
          <w:rFonts w:ascii="Georgia" w:hAnsi="Georgia"/>
          <w:sz w:val="18"/>
        </w:rPr>
        <w:t xml:space="preserve">30. </w:t>
      </w:r>
      <w:bookmarkStart w:id="103"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2">
        <w:r>
          <w:rPr>
            <w:rStyle w:val="Hyperlink"/>
          </w:rPr>
          <w:t xml:space="preserve">arxiv.org/abs/2502.14678</w:t>
        </w:r>
      </w:hyperlink>
      <w:bookmarkEnd w:id="103"/>
    </w:p>
    <w:p>
      <w:pPr>
        <w:pStyle w:val="ReferenceEntry"/>
        <w:numPr>
          <w:ilvl w:val="0"/>
          <w:numId w:val="1002"/>
        </w:numPr>
        <w:spacing w:after="60"/>
        <w:ind w:left="360" w:hanging="259"/>
        <w:jc w:val="left"/>
        <w:keepNext w:val="0"/>
        <w:keepLines w:val="0"/>
        <w:widowControl w:val="1"/>
      </w:pPr>
      <w:r>
        <w:rPr>
          <w:rFonts w:ascii="Georgia" w:hAnsi="Georgia"/>
          <w:sz w:val="18"/>
        </w:rPr>
        <w:t xml:space="preserve">31. </w:t>
      </w:r>
      <w:bookmarkStart w:id="105"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4">
        <w:r>
          <w:rPr>
            <w:rStyle w:val="Hyperlink"/>
          </w:rPr>
          <w:t xml:space="preserve">arxiv.org/abs/2501.12789</w:t>
        </w:r>
      </w:hyperlink>
      <w:bookmarkEnd w:id="105"/>
    </w:p>
    <w:p>
      <w:pPr>
        <w:pStyle w:val="ReferenceEntry"/>
        <w:numPr>
          <w:ilvl w:val="0"/>
          <w:numId w:val="1002"/>
        </w:numPr>
        <w:spacing w:after="60"/>
        <w:ind w:left="360" w:hanging="259"/>
        <w:jc w:val="left"/>
        <w:keepNext w:val="0"/>
        <w:keepLines w:val="0"/>
        <w:widowControl w:val="1"/>
      </w:pPr>
      <w:r>
        <w:rPr>
          <w:rFonts w:ascii="Georgia" w:hAnsi="Georgia"/>
          <w:sz w:val="18"/>
        </w:rPr>
        <w:t xml:space="preserve">32. </w:t>
      </w:r>
      <w:bookmarkStart w:id="107"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6">
        <w:r>
          <w:rPr>
            <w:rStyle w:val="Hyperlink"/>
          </w:rPr>
          <w:t xml:space="preserve">arxiv.org/abs/2502.17521</w:t>
        </w:r>
      </w:hyperlink>
      <w:bookmarkEnd w:id="107"/>
    </w:p>
    <w:p>
      <w:pPr>
        <w:pStyle w:val="ReferenceEntry"/>
        <w:numPr>
          <w:ilvl w:val="0"/>
          <w:numId w:val="1002"/>
        </w:numPr>
        <w:spacing w:after="60"/>
        <w:ind w:left="360" w:hanging="259"/>
        <w:jc w:val="left"/>
        <w:keepNext w:val="0"/>
        <w:keepLines w:val="0"/>
        <w:widowControl w:val="1"/>
      </w:pPr>
      <w:r>
        <w:rPr>
          <w:rFonts w:ascii="Georgia" w:hAnsi="Georgia"/>
          <w:sz w:val="18"/>
        </w:rPr>
        <w:t xml:space="preserve">33. </w:t>
      </w:r>
      <w:bookmarkStart w:id="109"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8">
        <w:r>
          <w:rPr>
            <w:rStyle w:val="Hyperlink"/>
          </w:rPr>
          <w:t xml:space="preserve">doi.org/10.2307/2346806</w:t>
        </w:r>
      </w:hyperlink>
      <w:bookmarkEnd w:id="109"/>
    </w:p>
    <w:bookmarkEnd w:id="110"/>
    <w:bookmarkStart w:id="111"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11"/>
    <w:bookmarkStart w:id="115"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3108960" cy="2709189"/>
            <wp:effectExtent b="0" l="0" r="0" t="0"/>
            <wp:docPr descr="Heatmap of pairwise semantic similarity between auto-generated rubric criteria" title="" id="113" name="Picture"/>
            <a:graphic>
              <a:graphicData uri="http://schemas.openxmlformats.org/drawingml/2006/picture">
                <pic:pic>
                  <pic:nvPicPr>
                    <pic:cNvPr descr="figures/f5_rubric_heatmap.png" id="114" name="Picture"/>
                    <pic:cNvPicPr>
                      <a:picLocks noChangeArrowheads="1" noChangeAspect="1"/>
                    </pic:cNvPicPr>
                  </pic:nvPicPr>
                  <pic:blipFill>
                    <a:blip r:embed="rId112"/>
                    <a:stretch>
                      <a:fillRect/>
                    </a:stretch>
                  </pic:blipFill>
                  <pic:spPr bwMode="auto">
                    <a:xfrm>
                      <a:off x="0" y="0"/>
                      <a:ext cx="3108960" cy="270918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0.342</m:t>
        </m:r>
        <m:r>
          <m:rPr>
            <m:sty m:val="p"/>
          </m:rPr>
          <m:t>&gt;</m:t>
        </m:r>
      </m:oMath>
      <m:oMath>
        <m:r>
          <m:t>0.294</m:t>
        </m:r>
      </m:oMath>
      <w:r>
        <w:rPr>
          <w:b/>
          <w:i/>
        </w:rPr>
        <w:t>Figure 5.</w:t>
      </w:r>
      <w:r>
        <w:rPr>
          <w:b w:val="0"/>
          <w:i/>
        </w:rPr>
        <w:t xml:space="preserve"> </w:t>
      </w:r>
      <w:r>
        <w:rPr>
          <w:b w:val="0"/>
          <w:i/>
        </w:rPr>
        <w:t>Pairwise semantic similarity of the 22 auto-generated rubric criteria across four tasks. Block structure along the diagonal reflects task specialization (within-task  cross-task ), while a recurring “completeness” dimension forms a cross-task cluster.</w:t>
      </w:r>
    </w:p>
    <w:bookmarkEnd w:id="115"/>
    <w:bookmarkStart w:id="119" w:name="appC"/>
    <w:p>
      <w:pPr>
        <w:pStyle w:val="Heading2"/>
        <w:keepNext/>
        <w:keepLines/>
        <w:widowControl w:val="1"/>
      </w:pPr>
      <w:r>
        <w:t xml:space="preserve">Appendix C. Evaluation throughput</w:t>
      </w:r>
    </w:p>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632960" cy="2987040"/>
            <wp:effectExtent b="0" l="0" r="0" t="0"/>
            <wp:docPr descr="Evaluations per dollar: CoEval versus human annotation" title="" id="117" name="Picture"/>
            <a:graphic>
              <a:graphicData uri="http://schemas.openxmlformats.org/drawingml/2006/picture">
                <pic:pic>
                  <pic:nvPicPr>
                    <pic:cNvPr descr="figures/f6_cost.png" id="118" name="Picture"/>
                    <pic:cNvPicPr>
                      <a:picLocks noChangeArrowheads="1" noChangeAspect="1"/>
                    </pic:cNvPicPr>
                  </pic:nvPicPr>
                  <pic:blipFill>
                    <a:blip r:embed="rId116"/>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1</m:t>
        </m:r>
        <m:r>
          <m:rPr>
            <m:sty m:val="p"/>
          </m:rPr>
          <m:t>,</m:t>
        </m:r>
        <m:r>
          <m:t>350</m:t>
        </m:r>
      </m:oMath>
      <w:r>
        <w:rPr>
          <w:b/>
          <w:i/>
        </w:rPr>
        <w:t>Figure 6.</w:t>
      </w:r>
      <w:r>
        <w:rPr>
          <w:b w:val="0"/>
          <w:i/>
        </w:rPr>
        <w:t xml:space="preserve"> </w:t>
      </w:r>
      <w:r>
        <w:rPr>
          <w:b w:val="0"/>
          <w:i/>
        </w:rPr>
        <w:t>Throughput. CoEval produces roughly  evaluations per dollar (7,978 evaluations for USD 5.89), two to three orders of magnitude above typical human annotation, enabling re-evaluation on every model release.</w:t>
      </w:r>
    </w:p>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119"/>
    <w:bookmarkStart w:id="120" w:name="appD"/>
    <w:p>
      <w:pPr>
        <w:pStyle w:val="Heading2"/>
        <w:keepNext/>
        <w:keepLines/>
        <w:widowControl w:val="1"/>
      </w:pPr>
      <w:r>
        <w:t xml:space="preserve">Appendix D. Worked examples on data-scarce domains</w:t>
      </w:r>
    </w:p>
    <w:p>
      <w:pPr>
        <w:pStyle w:val="FirstParagraph"/>
        <w:jc w:val="both"/>
        <w:keepNext w:val="0"/>
        <w:keepLines w:val="0"/>
        <w:widowControl w:val="1"/>
      </w:pPr>
      <w:r>
        <w:t xml:space="preserve">The three verticals of Section 5.7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5).</w:t>
      </w:r>
    </w:p>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m:oMath>
        <m:r>
          <m:t>40</m:t>
        </m:r>
      </m:oMath>
      <w:r>
        <w:rPr>
          <w:b/>
          <w:i/>
        </w:rPr>
        <w:t>Table D1.</w:t>
      </w:r>
      <w:r>
        <w:rPr>
          <w:b w:val="0"/>
          <w:i/>
        </w:rPr>
        <w:t xml:space="preserve"> </w:t>
      </w:r>
      <w:r>
        <w:rPr>
          <w:b w:val="0"/>
          <w:i/>
        </w:rPr>
        <w:t>From a one-line description to a scored benchmark, for three domains with no public labeled data. The attribute strata and rubric criteria are auto-generated by the teacher; each domain yields  stratified, contamination-free items, scored by the cross-family panel.</w:t>
      </w:r>
    </w:p>
    <w:tbl>
      <w:tblPr>
        <w:tblStyle w:val="Table"/>
        <w:tblW w:type="pct" w:w="5000"/>
        <w:jc w:val="center"/>
        <w:tblLayout w:type="autofit"/>
        <w:tblLook w:firstRow="1" w:lastRow="0" w:firstColumn="0" w:lastColumn="0" w:noHBand="0" w:noVBand="0" w:val="0020"/>
        <w:tblCaption w:val="Table D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Domain and one-line seed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Auto-generated attribute strata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Auto-generated rubric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Drug–drug interaction reasoning</w:t>
            </w:r>
            <w:r>
              <w:rPr>
                <w:rFonts w:ascii="Georgia" w:hAnsi="Georgia"/>
                <w:sz w:val="20"/>
              </w:rPr>
              <w:br/>
            </w:r>
            <w:r>
              <w:rPr>
                <w:rFonts w:ascii="Georgia" w:hAnsi="Georgia"/>
                <w:i/>
                <w:iCs/>
                <w:sz w:val="20"/>
              </w:rPr>
              <w:t xml:space="preserve">"given two or more co-administered drugs and a patient context, assess the interaction, its mechanism, severity, and clinical action"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severity {contraindicated, major, moderate, minor}; mechanism {pharmacokinetic, pharmacodynamic};</w:t>
            </w:r>
            <w:r>
              <w:rPr>
                <w:rFonts w:ascii="Georgia" w:hAnsi="Georgia"/>
                <w:sz w:val="20"/>
              </w:rPr>
              <w:t xml:space="preserve"> </w:t>
            </w:r>
            <w:r>
              <w:rPr>
                <w:rFonts w:ascii="Georgia" w:hAnsi="Georgia"/>
                <w:sz w:val="20"/>
              </w:rPr>
              <w:t xml:space="preserve">patient_context {renal, hepatic, polypharmacy-elderly, pregnancy}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interaction_accuracy, severity_correct, safety, completeness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Clinical reasoning</w:t>
            </w:r>
            <w:r>
              <w:rPr>
                <w:rFonts w:ascii="Georgia" w:hAnsi="Georgia"/>
                <w:sz w:val="20"/>
              </w:rPr>
              <w:br/>
            </w:r>
            <w:r>
              <w:rPr>
                <w:rFonts w:ascii="Georgia" w:hAnsi="Georgia"/>
                <w:i/>
                <w:iCs/>
                <w:sz w:val="20"/>
              </w:rPr>
              <w:t xml:space="preserve">"a clinical reasoning question a clinician would face, requiring medical knowledge and safe, accurate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specialty {cardiology, infectious_disease, pediatrics, oncology, emergency}; difficulty {routine, intermediate, hard}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clinical_accuracy, safety, completeness, clarity</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Legal analysis</w:t>
            </w:r>
            <w:r>
              <w:rPr>
                <w:rFonts w:ascii="Georgia" w:hAnsi="Georgia"/>
                <w:sz w:val="20"/>
              </w:rPr>
              <w:br/>
            </w:r>
            <w:r>
              <w:rPr>
                <w:rFonts w:ascii="Georgia" w:hAnsi="Georgia"/>
                <w:i/>
                <w:iCs/>
                <w:sz w:val="20"/>
              </w:rPr>
              <w:t xml:space="preserve">"a legal analysis question requiring identification of the relevant rule and correct application to the facts"</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area_of_law {contracts, torts, criminal, constitutional, intellectual_property}; complexity {basic, intermediate, advanced}</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legal_accuracy, reasoning_quality, completeness, clarity</w:t>
            </w:r>
          </w:p>
        </w:tc>
      </w:tr>
    </w:tbl>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ind w:left="360" w:hanging="259"/>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ind w:left="360" w:hanging="259"/>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ind w:left="360" w:hanging="259"/>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5.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20"/>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288"/>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12" Type="http://schemas.openxmlformats.org/officeDocument/2006/relationships/image" Target="media/rId112.png"/><Relationship Id="rId116" Type="http://schemas.openxmlformats.org/officeDocument/2006/relationships/image" Target="media/rId116.png"/><Relationship Id="rId70" Type="http://schemas.openxmlformats.org/officeDocument/2006/relationships/hyperlink" Target="https://arxiv.org/abs/2104.14337" TargetMode="External"/><Relationship Id="rId46" Type="http://schemas.openxmlformats.org/officeDocument/2006/relationships/hyperlink" Target="https://arxiv.org/abs/2303.16634" TargetMode="External"/><Relationship Id="rId44" Type="http://schemas.openxmlformats.org/officeDocument/2006/relationships/hyperlink" Target="https://arxiv.org/abs/2306.05685" TargetMode="External"/><Relationship Id="rId84" Type="http://schemas.openxmlformats.org/officeDocument/2006/relationships/hyperlink" Target="https://arxiv.org/abs/2308.07201" TargetMode="External"/><Relationship Id="rId88" Type="http://schemas.openxmlformats.org/officeDocument/2006/relationships/hyperlink" Target="https://arxiv.org/abs/2403.07974" TargetMode="External"/><Relationship Id="rId58" Type="http://schemas.openxmlformats.org/officeDocument/2006/relationships/hyperlink" Target="https://arxiv.org/abs/2404.04475" TargetMode="External"/><Relationship Id="rId52" Type="http://schemas.openxmlformats.org/officeDocument/2006/relationships/hyperlink" Target="https://arxiv.org/abs/2404.18796" TargetMode="External"/><Relationship Id="rId66" Type="http://schemas.openxmlformats.org/officeDocument/2006/relationships/hyperlink" Target="https://arxiv.org/abs/2405.00332" TargetMode="External"/><Relationship Id="rId48" Type="http://schemas.openxmlformats.org/officeDocument/2006/relationships/hyperlink" Target="https://arxiv.org/abs/2405.01535" TargetMode="External"/><Relationship Id="rId56" Type="http://schemas.openxmlformats.org/officeDocument/2006/relationships/hyperlink" Target="https://arxiv.org/abs/2406.05761" TargetMode="External"/><Relationship Id="rId86" Type="http://schemas.openxmlformats.org/officeDocument/2006/relationships/hyperlink" Target="https://arxiv.org/abs/2406.19314" TargetMode="External"/><Relationship Id="rId60" Type="http://schemas.openxmlformats.org/officeDocument/2006/relationships/hyperlink" Target="https://arxiv.org/abs/2407.08351" TargetMode="External"/><Relationship Id="rId50" Type="http://schemas.openxmlformats.org/officeDocument/2006/relationships/hyperlink" Target="https://arxiv.org/abs/2407.10817" TargetMode="External"/><Relationship Id="rId92" Type="http://schemas.openxmlformats.org/officeDocument/2006/relationships/hyperlink" Target="https://arxiv.org/abs/2408.08808" TargetMode="External"/><Relationship Id="rId76" Type="http://schemas.openxmlformats.org/officeDocument/2006/relationships/hyperlink" Target="https://arxiv.org/abs/2410.02736" TargetMode="External"/><Relationship Id="rId54" Type="http://schemas.openxmlformats.org/officeDocument/2006/relationships/hyperlink" Target="https://arxiv.org/abs/2410.12784" TargetMode="External"/><Relationship Id="rId78" Type="http://schemas.openxmlformats.org/officeDocument/2006/relationships/hyperlink" Target="https://arxiv.org/abs/2410.21819" TargetMode="External"/><Relationship Id="rId62" Type="http://schemas.openxmlformats.org/officeDocument/2006/relationships/hyperlink" Target="https://arxiv.org/abs/2410.22584" TargetMode="External"/><Relationship Id="rId80" Type="http://schemas.openxmlformats.org/officeDocument/2006/relationships/hyperlink" Target="https://arxiv.org/abs/2411.15594" TargetMode="External"/><Relationship Id="rId82" Type="http://schemas.openxmlformats.org/officeDocument/2006/relationships/hyperlink" Target="https://arxiv.org/abs/2411.16594" TargetMode="External"/><Relationship Id="rId104" Type="http://schemas.openxmlformats.org/officeDocument/2006/relationships/hyperlink" Target="https://arxiv.org/abs/2501.12789" TargetMode="External"/><Relationship Id="rId72" Type="http://schemas.openxmlformats.org/officeDocument/2006/relationships/hyperlink" Target="https://arxiv.org/abs/2502.01534" TargetMode="External"/><Relationship Id="rId68" Type="http://schemas.openxmlformats.org/officeDocument/2006/relationships/hyperlink" Target="https://arxiv.org/abs/2502.14425" TargetMode="External"/><Relationship Id="rId102" Type="http://schemas.openxmlformats.org/officeDocument/2006/relationships/hyperlink" Target="https://arxiv.org/abs/2502.14678" TargetMode="External"/><Relationship Id="rId106" Type="http://schemas.openxmlformats.org/officeDocument/2006/relationships/hyperlink" Target="https://arxiv.org/abs/2502.17521" TargetMode="External"/><Relationship Id="rId64" Type="http://schemas.openxmlformats.org/officeDocument/2006/relationships/hyperlink" Target="https://arxiv.org/abs/2504.01833" TargetMode="External"/><Relationship Id="rId90" Type="http://schemas.openxmlformats.org/officeDocument/2006/relationships/hyperlink" Target="https://arxiv.org/abs/2504.03846" TargetMode="External"/><Relationship Id="rId94" Type="http://schemas.openxmlformats.org/officeDocument/2006/relationships/hyperlink" Target="https://arxiv.org/abs/2504.17087" TargetMode="External"/><Relationship Id="rId74" Type="http://schemas.openxmlformats.org/officeDocument/2006/relationships/hyperlink" Target="https://arxiv.org/abs/2508.06709" TargetMode="External"/><Relationship Id="rId100" Type="http://schemas.openxmlformats.org/officeDocument/2006/relationships/hyperlink" Target="https://arxiv.org/abs/2601.21817" TargetMode="External"/><Relationship Id="rId96" Type="http://schemas.openxmlformats.org/officeDocument/2006/relationships/hyperlink" Target="https://arxiv.org/abs/2602.16610" TargetMode="External"/><Relationship Id="rId98" Type="http://schemas.openxmlformats.org/officeDocument/2006/relationships/hyperlink" Target="https://arxiv.org/abs/2603.00039" TargetMode="External"/><Relationship Id="rId108" Type="http://schemas.openxmlformats.org/officeDocument/2006/relationships/hyperlink" Target="https://doi.org/10.2307/234680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0" Type="http://schemas.openxmlformats.org/officeDocument/2006/relationships/hyperlink" Target="https://arxiv.org/abs/2104.14337" TargetMode="External"/><Relationship Id="rId46" Type="http://schemas.openxmlformats.org/officeDocument/2006/relationships/hyperlink" Target="https://arxiv.org/abs/2303.16634" TargetMode="External"/><Relationship Id="rId44" Type="http://schemas.openxmlformats.org/officeDocument/2006/relationships/hyperlink" Target="https://arxiv.org/abs/2306.05685" TargetMode="External"/><Relationship Id="rId84" Type="http://schemas.openxmlformats.org/officeDocument/2006/relationships/hyperlink" Target="https://arxiv.org/abs/2308.07201" TargetMode="External"/><Relationship Id="rId88" Type="http://schemas.openxmlformats.org/officeDocument/2006/relationships/hyperlink" Target="https://arxiv.org/abs/2403.07974" TargetMode="External"/><Relationship Id="rId58" Type="http://schemas.openxmlformats.org/officeDocument/2006/relationships/hyperlink" Target="https://arxiv.org/abs/2404.04475" TargetMode="External"/><Relationship Id="rId52" Type="http://schemas.openxmlformats.org/officeDocument/2006/relationships/hyperlink" Target="https://arxiv.org/abs/2404.18796" TargetMode="External"/><Relationship Id="rId66" Type="http://schemas.openxmlformats.org/officeDocument/2006/relationships/hyperlink" Target="https://arxiv.org/abs/2405.00332" TargetMode="External"/><Relationship Id="rId48" Type="http://schemas.openxmlformats.org/officeDocument/2006/relationships/hyperlink" Target="https://arxiv.org/abs/2405.01535" TargetMode="External"/><Relationship Id="rId56" Type="http://schemas.openxmlformats.org/officeDocument/2006/relationships/hyperlink" Target="https://arxiv.org/abs/2406.05761" TargetMode="External"/><Relationship Id="rId86" Type="http://schemas.openxmlformats.org/officeDocument/2006/relationships/hyperlink" Target="https://arxiv.org/abs/2406.19314" TargetMode="External"/><Relationship Id="rId60" Type="http://schemas.openxmlformats.org/officeDocument/2006/relationships/hyperlink" Target="https://arxiv.org/abs/2407.08351" TargetMode="External"/><Relationship Id="rId50" Type="http://schemas.openxmlformats.org/officeDocument/2006/relationships/hyperlink" Target="https://arxiv.org/abs/2407.10817" TargetMode="External"/><Relationship Id="rId92" Type="http://schemas.openxmlformats.org/officeDocument/2006/relationships/hyperlink" Target="https://arxiv.org/abs/2408.08808" TargetMode="External"/><Relationship Id="rId76" Type="http://schemas.openxmlformats.org/officeDocument/2006/relationships/hyperlink" Target="https://arxiv.org/abs/2410.02736" TargetMode="External"/><Relationship Id="rId54" Type="http://schemas.openxmlformats.org/officeDocument/2006/relationships/hyperlink" Target="https://arxiv.org/abs/2410.12784" TargetMode="External"/><Relationship Id="rId78" Type="http://schemas.openxmlformats.org/officeDocument/2006/relationships/hyperlink" Target="https://arxiv.org/abs/2410.21819" TargetMode="External"/><Relationship Id="rId62" Type="http://schemas.openxmlformats.org/officeDocument/2006/relationships/hyperlink" Target="https://arxiv.org/abs/2410.22584" TargetMode="External"/><Relationship Id="rId80" Type="http://schemas.openxmlformats.org/officeDocument/2006/relationships/hyperlink" Target="https://arxiv.org/abs/2411.15594" TargetMode="External"/><Relationship Id="rId82" Type="http://schemas.openxmlformats.org/officeDocument/2006/relationships/hyperlink" Target="https://arxiv.org/abs/2411.16594" TargetMode="External"/><Relationship Id="rId104" Type="http://schemas.openxmlformats.org/officeDocument/2006/relationships/hyperlink" Target="https://arxiv.org/abs/2501.12789" TargetMode="External"/><Relationship Id="rId72" Type="http://schemas.openxmlformats.org/officeDocument/2006/relationships/hyperlink" Target="https://arxiv.org/abs/2502.01534" TargetMode="External"/><Relationship Id="rId68" Type="http://schemas.openxmlformats.org/officeDocument/2006/relationships/hyperlink" Target="https://arxiv.org/abs/2502.14425" TargetMode="External"/><Relationship Id="rId102" Type="http://schemas.openxmlformats.org/officeDocument/2006/relationships/hyperlink" Target="https://arxiv.org/abs/2502.14678" TargetMode="External"/><Relationship Id="rId106" Type="http://schemas.openxmlformats.org/officeDocument/2006/relationships/hyperlink" Target="https://arxiv.org/abs/2502.17521" TargetMode="External"/><Relationship Id="rId64" Type="http://schemas.openxmlformats.org/officeDocument/2006/relationships/hyperlink" Target="https://arxiv.org/abs/2504.01833" TargetMode="External"/><Relationship Id="rId90" Type="http://schemas.openxmlformats.org/officeDocument/2006/relationships/hyperlink" Target="https://arxiv.org/abs/2504.03846" TargetMode="External"/><Relationship Id="rId94" Type="http://schemas.openxmlformats.org/officeDocument/2006/relationships/hyperlink" Target="https://arxiv.org/abs/2504.17087" TargetMode="External"/><Relationship Id="rId74" Type="http://schemas.openxmlformats.org/officeDocument/2006/relationships/hyperlink" Target="https://arxiv.org/abs/2508.06709" TargetMode="External"/><Relationship Id="rId100" Type="http://schemas.openxmlformats.org/officeDocument/2006/relationships/hyperlink" Target="https://arxiv.org/abs/2601.21817" TargetMode="External"/><Relationship Id="rId96" Type="http://schemas.openxmlformats.org/officeDocument/2006/relationships/hyperlink" Target="https://arxiv.org/abs/2602.16610" TargetMode="External"/><Relationship Id="rId98" Type="http://schemas.openxmlformats.org/officeDocument/2006/relationships/hyperlink" Target="https://arxiv.org/abs/2603.00039" TargetMode="External"/><Relationship Id="rId108"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2026-06-03T09:30:10Z</dcterms:created>
  <dcterms:modified xsi:type="dcterms:W3CDTF">2026-06-03T09:30:10Z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