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160"/>
        <w:jc w:val="center"/>
        <w:keepNext w:val="0"/>
        <w:keepLines/>
        <w:widowControl w:val="1"/>
      </w:pPr>
      <w:r>
        <w:rPr>
          <w:rFonts w:ascii="Georgia" w:hAnsi="Georgia"/>
          <w:b w:val="0"/>
          <w:i/>
          <w:sz w:val="20"/>
        </w:rPr>
        <w:t xml:space="preserve">Alexander Apartsin</w:t>
      </w:r>
      <w:r>
        <w:rPr>
          <w:rFonts w:ascii="Georgia" w:hAnsi="Georgia"/>
          <w:b w:val="0"/>
          <w:i/>
          <w:sz w:val="20"/>
          <w:vertAlign w:val="superscript"/>
        </w:rPr>
        <w:t xml:space="preserve">1</w:t>
      </w:r>
      <w:r>
        <w:rPr>
          <w:rFonts w:ascii="Georgia" w:hAnsi="Georgia"/>
          <w:b w:val="0"/>
          <w:i/>
          <w:sz w:val="20"/>
        </w:rPr>
        <w:t xml:space="preserve">,</w:t>
      </w:r>
      <w:r>
        <w:rPr>
          <w:rFonts w:ascii="Georgia" w:hAnsi="Georgia"/>
          <w:b w:val="0"/>
          <w:i/>
          <w:sz w:val="20"/>
        </w:rPr>
        <w:t xml:space="preserve"> </w:t>
      </w:r>
      <w:r>
        <w:rPr>
          <w:rFonts w:ascii="Georgia" w:hAnsi="Georgia"/>
          <w:b w:val="0"/>
          <w:i/>
          <w:sz w:val="20"/>
        </w:rPr>
        <w:t xml:space="preserve">Yehudit Aperstein</w:t>
      </w:r>
      <w:r>
        <w:rPr>
          <w:rFonts w:ascii="Georgia" w:hAnsi="Georgia"/>
          <w:b w:val="0"/>
          <w:i/>
          <w:sz w:val="20"/>
          <w:vertAlign w:val="superscript"/>
        </w:rPr>
        <w:t xml:space="preserve">2</w:t>
      </w:r>
    </w:p>
    <w:p>
      <w:pPr>
        <w:pStyle w:val="Subtitle"/>
        <w:spacing w:before="0" w:after="160"/>
        <w:jc w:val="center"/>
        <w:keepNext w:val="0"/>
        <w:keepLines/>
        <w:widowControl w:val="1"/>
      </w:pPr>
      <w:r>
        <w:rPr>
          <w:rFonts w:ascii="Georgia" w:hAnsi="Georgia"/>
          <w:b w:val="0"/>
          <w:i/>
          <w:sz w:val="20"/>
          <w:vertAlign w:val="superscript"/>
        </w:rPr>
        <w:t xml:space="preserve">1</w:t>
      </w:r>
      <w:r>
        <w:rPr>
          <w:rFonts w:ascii="Georgia" w:hAnsi="Georgia"/>
          <w:b w:val="0"/>
          <w:i/>
          <w:sz w:val="20"/>
        </w:rPr>
        <w:t xml:space="preserve">Holon Institute of Technology, Israel  ·  </w:t>
      </w:r>
      <w:r>
        <w:rPr>
          <w:rFonts w:ascii="Georgia" w:hAnsi="Georgia"/>
          <w:b w:val="0"/>
          <w:i/>
          <w:sz w:val="20"/>
          <w:vertAlign w:val="superscript"/>
        </w:rPr>
        <w:t xml:space="preserve">2</w:t>
      </w:r>
      <w:r>
        <w:rPr>
          <w:rFonts w:ascii="Georgia" w:hAnsi="Georgia"/>
          <w:b w:val="0"/>
          <w:i/>
          <w:sz w:val="20"/>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a generic benchmark need not reflect a</w:t>
      </w:r>
      <w:r>
        <w:t xml:space="preserve"> </w:t>
      </w:r>
      <w:r>
        <w:t xml:space="preserve">particular</w:t>
      </w:r>
      <w:r>
        <w:t xml:space="preserve"> </w:t>
      </w:r>
      <w:r>
        <w:rPr>
          <w:i/>
          <w:iCs/>
        </w:rPr>
        <w:t xml:space="preserve">sub-domain or sub-task</w:t>
      </w:r>
      <w:r>
        <w:t xml:space="preserve">, and its scores are suspect when its items have</w:t>
      </w:r>
      <w:r>
        <w:t xml:space="preserve"> </w:t>
      </w:r>
      <w:r>
        <w:rPr>
          <w:i/>
          <w:iCs/>
        </w:rPr>
        <w:t xml:space="preserve">leaked into</w:t>
      </w:r>
      <w:r>
        <w:rPr>
          <w:i/>
          <w:iCs/>
        </w:rPr>
        <w:t xml:space="preserve"> </w:t>
      </w:r>
      <w:r>
        <w:rPr>
          <w:i/>
          <w:iCs/>
        </w:rPr>
        <w:t xml:space="preserve">pretraining</w:t>
      </w:r>
      <w:r>
        <w:t xml:space="preserve"> </w:t>
      </w:r>
      <w:r>
        <w:t xml:space="preserve">and are recalled rather than solved. We present</w:t>
      </w:r>
      <w:r>
        <w:t xml:space="preserve"> </w:t>
      </w:r>
      <w:r>
        <w:rPr>
          <w:b/>
          <w:bCs/>
        </w:rPr>
        <w:t xml:space="preserve">CoEval</w:t>
      </w:r>
      <w:r>
        <w:t xml:space="preserve">, an open framework that</w:t>
      </w:r>
      <w:r>
        <w:t xml:space="preserve"> </w:t>
      </w:r>
      <w:r>
        <w:t xml:space="preserve">supplies a trustworthy, task-specific signal through</w:t>
      </w:r>
      <w:r>
        <w:t xml:space="preserve"> </w:t>
      </w:r>
      <w:r>
        <w:rPr>
          <w:i/>
          <w:iCs/>
        </w:rPr>
        <w:t xml:space="preserve">ensemble self-evaluation</w:t>
      </w:r>
      <w:r>
        <w:t xml:space="preserve">: from a task or domain</w:t>
      </w:r>
      <w:r>
        <w:t xml:space="preserve"> </w:t>
      </w:r>
      <w:r>
        <w:t xml:space="preserve">description, a 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 fresh, contamination-free benchmark, answer it, and score one another, with no human</w:t>
      </w:r>
      <w:r>
        <w:t xml:space="preserve"> </w:t>
      </w:r>
      <w:r>
        <w:t xml:space="preserve">labels or raters. Because every model also answers as a student, the responses are the data that weight each question</w:t>
      </w:r>
      <w:r>
        <w:t xml:space="preserve"> </w:t>
      </w:r>
      <w:r>
        <w:t xml:space="preserve">by its discriminative power and each judge by its consensus with the panel. Where ground truth exists, CoEval</w:t>
      </w:r>
      <w:r>
        <w:t xml:space="preserve"> </w:t>
      </w:r>
      <w:r>
        <w:t xml:space="preserve">recovers the true ranking and tracks objective correctness at</w:t>
      </w:r>
      <w:r>
        <w:t xml:space="preserve"> </w:t>
      </w:r>
      <m:oMath>
        <m:r>
          <m:t>ρ</m:t>
        </m:r>
        <m:r>
          <m:rPr>
            <m:sty m:val="p"/>
          </m:rPr>
          <m:t>=</m:t>
        </m:r>
        <m:r>
          <m:t>0.86</m:t>
        </m:r>
      </m:oMath>
      <w:r>
        <w:t xml:space="preserve">, and the weighting recovers the gold</w:t>
      </w:r>
      <w:r>
        <w:t xml:space="preserve"> </w:t>
      </w:r>
      <w:r>
        <w:t xml:space="preserve">ranking of thirteen models at Spearman</w:t>
      </w:r>
      <w:r>
        <w:t xml:space="preserve"> </w:t>
      </w:r>
      <m:oMath>
        <m:r>
          <m:t>0.95</m:t>
        </m:r>
      </m:oMath>
      <w:r>
        <w:t xml:space="preserve">. Reliability comes from panel</w:t>
      </w:r>
      <w:r>
        <w:t xml:space="preserve"> </w:t>
      </w:r>
      <w:r>
        <w:rPr>
          <w:i/>
          <w:iCs/>
        </w:rPr>
        <w:t xml:space="preserve">composition</w:t>
      </w:r>
      <w:r>
        <w:t xml:space="preserve">, not size: this</w:t>
      </w:r>
      <w:r>
        <w:t xml:space="preserve"> </w:t>
      </w:r>
      <w:r>
        <w:t xml:space="preserve">label-free weighting zeroes out broken judges and down-weights saturated questions, so neither distorts the ranking.</w:t>
      </w:r>
      <w:r>
        <w:t xml:space="preserve"> </w:t>
      </w:r>
      <w:r>
        <w:t xml:space="preserve">Generated items show</w:t>
      </w:r>
      <w:r>
        <w:t xml:space="preserve"> </w:t>
      </w:r>
      <w:r>
        <w:rPr>
          <w:i/>
          <w:iCs/>
        </w:rPr>
        <w:t xml:space="preserve">zero</w:t>
      </w:r>
      <w:r>
        <w:t xml:space="preserve"> </w:t>
      </w:r>
      <w:r>
        <w:t xml:space="preserve">verbatim overlap with five public benchmarks, the panel cancels verbosity bias and</w:t>
      </w:r>
      <w:r>
        <w:t xml:space="preserve"> </w:t>
      </w:r>
      <w:r>
        <w:t xml:space="preserve">precludes same-family self-preference, and rankings are</w:t>
      </w:r>
      <w:r>
        <w:t xml:space="preserve"> </w:t>
      </w:r>
      <w:r>
        <w:rPr>
          <w:i/>
          <w:iCs/>
        </w:rPr>
        <w:t xml:space="preserve">domain-specific</w:t>
      </w:r>
      <w:r>
        <w:t xml:space="preserve">: three different models top four</w:t>
      </w:r>
      <w:r>
        <w:t xml:space="preserve"> </w:t>
      </w:r>
      <w:r>
        <w:t xml:space="preserve">de-novo domains, so a generic leaderboard misdirects most practitioners. The same pipeline reruns on each model</w:t>
      </w:r>
      <w:r>
        <w:t xml:space="preserve"> </w:t>
      </w:r>
      <w:r>
        <w:t xml:space="preserve">release, giving any team a contamination-free leaderboard for its application.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selecting a pretrained language model, or evaluating a fine-tuned one, for a specific application</w:t>
      </w:r>
      <w:r>
        <w:t xml:space="preserve"> </w:t>
      </w:r>
      <w:r>
        <w:t xml:space="preserve">(summarizing clinical notes, answering questions over an internal knowledge base, triaging support tickets for a</w:t>
      </w:r>
      <w:r>
        <w:t xml:space="preserve"> </w:t>
      </w:r>
      <w:r>
        <w:t xml:space="preserve">particular product) faces a 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for</w:t>
      </w:r>
      <w:r>
        <w:t xml:space="preserve"> </w:t>
      </w:r>
      <w:r>
        <w:rPr>
          <w:i/>
          <w:iCs/>
        </w:rPr>
        <w:t xml:space="preserve">ensemble self-evaluation</w:t>
      </w:r>
      <w:r>
        <w:t xml:space="preserve">: a</w:t>
      </w:r>
      <w:r>
        <w:t xml:space="preserve"> </w:t>
      </w:r>
      <w:r>
        <w:t xml:space="preserve">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w:t>
      </w:r>
      <w:r>
        <w:t xml:space="preserve"> </w:t>
      </w:r>
      <w:r>
        <w:t xml:space="preserve">fresh, contamination-free benchmark, answer it, and score one another. Because every model also answers as a student,</w:t>
      </w:r>
      <w:r>
        <w:t xml:space="preserve"> </w:t>
      </w:r>
      <w:r>
        <w:t xml:space="preserve">the responses provide the data that weight each question by its discriminative power and each judge by its consensus</w:t>
      </w:r>
      <w:r>
        <w:t xml:space="preserve"> </w:t>
      </w:r>
      <w:r>
        <w:t xml:space="preserve">with the panel. CoEval contributes:</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re-runs unchanged on every model release, so a team obtains a renewable, application-specific</w:t>
      </w:r>
      <w:r>
        <w:t xml:space="preserve"> </w:t>
      </w:r>
      <w:r>
        <w:t xml:space="preserve">benchmark rather than a fixed leaderboard. This per-domain ranking is necessary rather than cosmetic: across four</w:t>
      </w:r>
      <w:r>
        <w:t xml:space="preserve"> </w:t>
      </w:r>
      <w:r>
        <w:t xml:space="preserve">de-novo domains three different models take first place (Section 5.7), so a single generic leaderboard</w:t>
      </w:r>
      <w:r>
        <w:t xml:space="preserve"> </w:t>
      </w:r>
      <w:r>
        <w:t xml:space="preserve">misdirects most domain practitioners.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jc w:val="center"/>
        <w:keepNext/>
        <w:keepLines/>
        <w:widowControl w:val="1"/>
      </w:pPr>
      <w:r>
        <w:drawing>
          <wp:inline>
            <wp:extent cx="5943600" cy="1920171"/>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pStyle w:val="TableCaption"/>
        <w:spacing w:before="280" w:after="60" w:line="240" w:lineRule="auto"/>
        <w:jc w:val="center"/>
        <w:keepNext/>
        <w:keepLines/>
        <w:widowControl w:val="1"/>
      </w:pPr>
      <w:r>
        <w:rPr>
          <w:b/>
          <w:i/>
        </w:rPr>
        <w:t>Table 1.</w:t>
      </w:r>
      <w:r>
        <w:rPr>
          <w:b w:val="0"/>
          <w:i/>
        </w:rPr>
        <w:t xml:space="preserve"> </w:t>
      </w:r>
      <w:r>
        <w:rPr>
          <w:b w:val="0"/>
          <w:i/>
        </w:rPr>
        <w:t>Experimental configurations. Judge panels differ by experiment because the ground-truth anchor (5.1) uses a frontier cross-family panel while the bias and reliability studies (5.2–5.3) use a deliberately heterogeneous panel that includes weak open-weight judges; the verticals (5.4, 5.7)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7)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Experiment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 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Size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5.1 ground truth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SciQ, ARC (exact-match QA)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 claude-sonnet-4, 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191 items / 573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 reliability (5.1 summ. 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code (BLEU), news + text summ. (BERTScore)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claude-haiku, 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 tasks / 900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5.2–5.3, App. 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4-task medium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qwen2.5-1.5b, smollm2-1.7b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7,978 eval.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5.4, 5.6 verticals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drug-interaction, clinical, legal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claude-haiku, gemini-flash,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40 items each</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5.5 contamination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SciQ memorization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exact-match (no LLM judge)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200 memorized / 100 fresh</w:t>
            </w:r>
          </w:p>
        </w:tc>
      </w:tr>
    </w:tbl>
    <w:bookmarkEnd w:id="23"/>
    <w:bookmarkStart w:id="40"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Section 5.6 exercises the complete tool on three custom verticals (drug interaction, clinical, legal) with no labeled data, and Section 5.7 shows that rankings are domain-specific: across four de-novo domains three different models take first place, so a generic leaderboard misdirects the practitioner that CoEval's per-domain ranking serves.</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280" w:after="60" w:line="240" w:lineRule="auto"/>
        <w:jc w:val="center"/>
        <w:keepNext/>
        <w:keepLines/>
        <w:widowControl w:val="1"/>
      </w:pPr>
      <w:r>
        <w:rPr>
          <w:b/>
          <w:i/>
        </w:rPr>
        <w:t>Table 2.</w:t>
      </w:r>
      <w:r>
        <w:rPr>
          <w:b w:val="0"/>
          <w:i/>
        </w:rPr>
        <w:t xml:space="preserve"> </w:t>
      </w:r>
      <w:r>
        <w:rPr>
          <w:b w:val="0"/>
          <w:i/>
        </w:rPr>
        <w:t>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Evaluator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SciQ</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ARC-Challenge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Overall (clustered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CoEval frontier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+0.859</w:t>
            </w:r>
            <w:r>
              <w:rPr>
                <w:rFonts w:ascii="Georgia" w:hAnsi="Georgia"/>
                <w:sz w:val="19"/>
              </w:rPr>
              <w:t xml:space="preserve"> </w:t>
            </w:r>
            <w:r>
              <w:rPr>
                <w:rFonts w:ascii="Georgia" w:hAnsi="Georgia"/>
                <w:sz w:val="19"/>
              </w:rPr>
              <w:t xml:space="preserve">[0.77, 0.94]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gpt-4o (OpenAI)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claude-sonnet-4 (Anthropic)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gemini-2.5-flash (Google)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bl>
    <w:p>
      <w:pPr>
        <w:pStyle w:val="BodyText"/>
        <w:spacing w:before="24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is a gamble one cannot hedge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0.02, and the order gpt-4o-mini &gt; gpt-3.5-turbo &gt; llama-3.2-3b is reproduced exactly (cf. Table 3).</w:t>
      </w:r>
    </w:p>
    <w:p>
      <w:pPr>
        <w:pStyle w:val="TableCaption"/>
        <w:spacing w:before="280" w:after="60" w:line="240" w:lineRule="auto"/>
        <w:jc w:val="center"/>
        <w:keepNext/>
        <w:keepLines/>
        <w:widowControl w:val="1"/>
      </w:pPr>
      <w:r>
        <w:rPr>
          <w:b/>
          <w:i/>
        </w:rPr>
        <w:t>Table 3.</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 under evaluation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Ground-truth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0.963 [0.937, 0.984]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0.921 [0.880, 0.958]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0.843 [0.791, 0.895]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0.832</w:t>
            </w:r>
          </w:p>
        </w:tc>
      </w:tr>
    </w:tbl>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Composition over size. Average-measures reliability ICC(3, k) as judges are added in descending agreement order. A selected strong panel reaches ICC = 0.70; indiscriminately adding low-agreement judges lowers the mean inter-rater correlation faster than averaging compensates, so reliability falls. CoEval's consensus selection retains the high-agreement judges, delivering the reliable configuration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5.6)</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the rogue judge receiving weight</w:t>
      </w:r>
      <w:r>
        <w:t xml:space="preserve"> </w:t>
      </w:r>
      <m:oMath>
        <m:r>
          <m:t>0.00</m:t>
        </m:r>
      </m:oMath>
      <w:r>
        <w:t xml:space="preserve"> </w:t>
      </w:r>
      <w:r>
        <w:t xml:space="preserve">(Table 4).</w:t>
      </w:r>
    </w:p>
    <w:p>
      <w:pPr>
        <w:pStyle w:val="TableCaption"/>
        <w:spacing w:before="280" w:after="60" w:line="240" w:lineRule="auto"/>
        <w:jc w:val="center"/>
        <w:keepNext/>
        <w:keepLines/>
        <w:widowControl w:val="1"/>
      </w:pPr>
      <w:r>
        <w:rPr>
          <w:b/>
          <w:i/>
        </w:rPr>
        <w:t>Table 4.</w:t>
      </w:r>
      <w:r>
        <w:rPr>
          <w:b w:val="0"/>
          <w:i/>
        </w:rPr>
        <w:t xml:space="preserve"> </w:t>
      </w:r>
      <w:r>
        <w:rPr>
          <w:b w:val="0"/>
          <w:i/>
        </w:rPr>
        <w:t>Doubly-robust rank-recovery on thirteen candidate models (science QA and reasoning; gold = benchmark-native accuracy). Each label-free weight helps on its own, and the two compose into the best recovery; the aggregator is robust to an injected random judge, which it gives weight 0.00.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4. Doubly-robust rank-recovery on thirteen candidate models (science QA and reasoning; gold = benchmark-native accuracy). Each label-free weight helps on its own, and the two compose into the best recovery; the aggregator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Aggregator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Spearman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Kendall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Plain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Item-weighted (discrimination)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Judge-weighted (agreement)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Doubly-robust (both)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plain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doubly-robust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bl>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pStyle w:val="TableCaption"/>
        <w:spacing w:before="280" w:after="60" w:line="240" w:lineRule="auto"/>
        <w:jc w:val="center"/>
        <w:keepNext/>
        <w:keepLines/>
        <w:widowControl w:val="1"/>
      </w:pPr>
      <w:r>
        <w:rPr>
          <w:b/>
          <w:i/>
        </w:rPr>
        <w:t>Table 5.</w:t>
      </w:r>
      <w:r>
        <w:rPr>
          <w:b w:val="0"/>
          <w:i/>
        </w:rPr>
        <w:t xml:space="preserve"> </w:t>
      </w:r>
      <w:r>
        <w:rPr>
          <w:b w:val="0"/>
          <w:i/>
        </w:rPr>
        <w:t>Verbosity bias (Pearson r between response length and score) for representative individual judges versus the CoEval ensemble. The ensemble CI includes zero.</w:t>
      </w:r>
    </w:p>
    <w:tbl>
      <w:tblPr>
        <w:tblStyle w:val="Table"/>
        <w:tblW w:type="pct" w:w="5000"/>
        <w:jc w:val="center"/>
        <w:tblLook w:firstRow="1" w:lastRow="0" w:firstColumn="0" w:lastColumn="0" w:noHBand="0" w:noVBand="0" w:val="0020"/>
        <w:tblCaption w:val="Table 5.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Length-bias</w:t>
            </w:r>
            <w:r>
              <w:rPr>
                <w:rFonts w:ascii="Georgia" w:hAnsi="Georgia"/>
                <w:b/>
                <w:sz w:val="19"/>
              </w:rPr>
              <w:t xml:space="preserve"> </w:t>
            </w:r>
            <m:oMath>
              <m:r>
                <m:t>r</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95% bootstrap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SmolLM2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mean</w:t>
            </w:r>
            <w:r>
              <w:rPr>
                <w:rFonts w:ascii="Georgia" w:hAnsi="Georgia"/>
                <w:sz w:val="19"/>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CoEval ensemble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Verbosity bias by judge. Each judge's Pearson correlation between response length and score (point) with its 95% bootstrap CI; the ensemble (green) sits at r = +0.010 with a CI spanning zero. Mixed-sign per-judge biases cancel under averaging.</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5.6)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0.016</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bookmarkEnd w:id="37"/>
    <w:bookmarkStart w:id="38" w:name="putting-it-together-domain-case-studies"/>
    <w:p>
      <w:pPr>
        <w:pStyle w:val="Heading3"/>
        <w:keepNext/>
        <w:keepLines/>
        <w:widowControl w:val="1"/>
      </w:pPr>
      <w:r>
        <w:t xml:space="preserve">5.6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C">
        <w:r>
          <w:rPr>
            <w:rStyle w:val="Hyperlink"/>
          </w:rPr>
          <w:t xml:space="preserve">Appendix C</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6).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TableCaption"/>
        <w:spacing w:before="280" w:after="60" w:line="240" w:lineRule="auto"/>
        <w:jc w:val="center"/>
        <w:keepNext/>
        <w:keepLines/>
        <w:widowControl w:val="1"/>
      </w:pPr>
      <w:r>
        <w:rPr>
          <w:b/>
          <w:i/>
        </w:rPr>
        <w:t>Table 6.</w:t>
      </w:r>
      <w:r>
        <w:rPr>
          <w:b w:val="0"/>
          <w:i/>
        </w:rPr>
        <w:t xml:space="preserve"> </w:t>
      </w:r>
      <w:r>
        <w:rPr>
          <w:b w:val="0"/>
          <w:i/>
        </w:rPr>
        <w:t>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6. 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Vertical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Drug–drug 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0.770 [0.739, 0.800]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0.682 [0.646, 0.717]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0.497 [0.459, 0.532]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Clinical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0.873 [0.849, 0.895]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0.864 [0.840, 0.885]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0.814 [0.784, 0.844]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Legal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0.982 [0.973, 0.991]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0.740 [0.709, 0.770]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0.709 [0.677, 0.744]</w:t>
            </w:r>
          </w:p>
        </w:tc>
      </w:tr>
    </w:tbl>
    <w:bookmarkEnd w:id="38"/>
    <w:bookmarkStart w:id="39" w:name="X5b909f8979da9f44974797188bca91411bc1d26"/>
    <w:p>
      <w:pPr>
        <w:pStyle w:val="Heading3"/>
        <w:keepNext/>
        <w:keepLines/>
        <w:widowControl w:val="1"/>
      </w:pPr>
      <w:r>
        <w:t xml:space="preserve">5.7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7).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pStyle w:val="TableCaption"/>
        <w:spacing w:before="280" w:after="60" w:line="240" w:lineRule="auto"/>
        <w:jc w:val="center"/>
        <w:keepNext/>
        <w:keepLines/>
        <w:widowControl w:val="1"/>
      </w:pPr>
      <w:r>
        <w:rPr>
          <w:b/>
          <w:i/>
        </w:rPr>
        <w:t>Table 7.</w:t>
      </w:r>
      <w:r>
        <w:rPr>
          <w:b w:val="0"/>
          <w:i/>
        </w:rPr>
        <w:t xml:space="preserve"> </w:t>
      </w:r>
      <w:r>
        <w:rPr>
          <w:b w:val="0"/>
          <w:i/>
        </w:rPr>
        <w:t>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w:t>
      </w:r>
    </w:p>
    <w:tbl>
      <w:tblPr>
        <w:tblStyle w:val="Table"/>
        <w:tblW w:type="pct" w:w="5000"/>
        <w:jc w:val="center"/>
        <w:tblLook w:firstRow="1" w:lastRow="0" w:firstColumn="0" w:lastColumn="0" w:noHBand="0" w:noVBand="0" w:val="0020"/>
        <w:tblCaption w:val="Table 7.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Pooled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Clinical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Legal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Math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claude-3.5-haiku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qwen-2.5-7b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llama-3.1-8b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gpt-3.5-turbo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r>
    </w:tbl>
    <w:bookmarkEnd w:id="39"/>
    <w:bookmarkEnd w:id="40"/>
    <w:bookmarkStart w:id="41"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5.6) we rely on the cross-family</w:t>
      </w:r>
      <w:r>
        <w:t xml:space="preserve"> </w:t>
      </w:r>
      <w:r>
        <w:t xml:space="preserve">ensemble and report intervals rather than a held-out gold ranking, because by assumption none exists. We study up to</w:t>
      </w:r>
      <w:r>
        <w:t xml:space="preserve"> </w:t>
      </w:r>
      <w:r>
        <w:t xml:space="preserve">thirteen candidate models across four exact-match QA tasks, three custom verticals, a four-domain divergence study</w:t>
      </w:r>
      <w:r>
        <w:t xml:space="preserve"> </w:t>
      </w:r>
      <w:r>
        <w:t xml:space="preserve">(Section 5.7), and a thirteen-model rank-recovery check (Section 5.2); broader model pools and additional</w:t>
      </w:r>
      <w:r>
        <w:t xml:space="preserve"> </w:t>
      </w:r>
      <w:r>
        <w:t xml:space="preserve">domains would further 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1"/>
    <w:bookmarkStart w:id="42"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framework for</w:t>
      </w:r>
      <w:r>
        <w:t xml:space="preserve"> </w:t>
      </w:r>
      <w:r>
        <w:rPr>
          <w:i/>
          <w:iCs/>
        </w:rPr>
        <w:t xml:space="preserve">ensemble self-evaluation</w:t>
      </w:r>
      <w:r>
        <w:t xml:space="preserve"> </w:t>
      </w:r>
      <w:r>
        <w:t xml:space="preserve">that ranks language models for a specific application when neither labeled data nor a trustworthy benchmark is available: from a task description alone, a pool of models rotates through all three roles, teacher, student, and judge, to generate a fresh, contamination-resistant benchmark, answer it, and rank the candidates, jointly weighting questions by discriminative power and judges by consensus, with no human annotation. Because every model also answers as a student, the same responses supply the data for both label-free weights.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the same weighting down-weights non-discriminative</w:t>
      </w:r>
      <w:r>
        <w:t xml:space="preserve"> </w:t>
      </w:r>
      <w:r>
        <w:t xml:space="preserve">challenges, so saturated questions carry no spurious ranking signal. Because model rankings are</w:t>
      </w:r>
      <w:r>
        <w:t xml:space="preserve"> </w:t>
      </w:r>
      <w:r>
        <w:rPr>
          <w:i/>
          <w:iCs/>
        </w:rPr>
        <w:t xml:space="preserve">domain-specific</w:t>
      </w:r>
      <w:r>
        <w:t xml:space="preserve"> </w:t>
      </w:r>
      <w:r>
        <w:t xml:space="preserve">(three different models top four de-novo domains, so a generic leaderboard misdirects most</w:t>
      </w:r>
      <w:r>
        <w:t xml:space="preserve"> </w:t>
      </w:r>
      <w:r>
        <w:t xml:space="preserve">practitioners) and the same declarative pipeline runs unchanged across models and domains, re-running on</w:t>
      </w:r>
      <w:r>
        <w:t xml:space="preserve"> </w:t>
      </w:r>
      <w:r>
        <w:t xml:space="preserve">every model release, CoEval is a reusable instrument a team points at its own application when neither labeled data nor</w:t>
      </w:r>
      <w:r>
        <w:t xml:space="preserve"> </w:t>
      </w:r>
      <w:r>
        <w:t xml:space="preserve">a trustworthy benchmark exists, rather than a single static study. CoEval is open-source and fully reproducible.</w:t>
      </w:r>
    </w:p>
    <w:bookmarkEnd w:id="42"/>
    <w:bookmarkStart w:id="109"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Georgia" w:hAnsi="Georgia"/>
          <w:sz w:val="20"/>
        </w:rPr>
        <w:t xml:space="preserve">1. </w:t>
      </w:r>
      <w:bookmarkStart w:id="44"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3">
        <w:r>
          <w:rPr>
            <w:rStyle w:val="Hyperlink"/>
          </w:rPr>
          <w:t xml:space="preserve">arxiv.org/abs/2306.05685</w:t>
        </w:r>
      </w:hyperlink>
      <w:bookmarkEnd w:id="44"/>
    </w:p>
    <w:p>
      <w:pPr>
        <w:pStyle w:val="ReferenceEntry"/>
        <w:numPr>
          <w:ilvl w:val="0"/>
          <w:numId w:val="1002"/>
        </w:numPr>
        <w:spacing w:after="60"/>
        <w:ind w:left="360" w:hanging="259"/>
        <w:jc w:val="left"/>
        <w:keepNext w:val="0"/>
        <w:keepLines w:val="0"/>
        <w:widowControl w:val="1"/>
      </w:pPr>
      <w:r>
        <w:rPr>
          <w:rFonts w:ascii="Georgia" w:hAnsi="Georgia"/>
          <w:sz w:val="20"/>
        </w:rPr>
        <w:t xml:space="preserve">2. </w:t>
      </w:r>
      <w:bookmarkStart w:id="46"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5">
        <w:r>
          <w:rPr>
            <w:rStyle w:val="Hyperlink"/>
          </w:rPr>
          <w:t xml:space="preserve">arxiv.org/abs/2303.16634</w:t>
        </w:r>
      </w:hyperlink>
      <w:bookmarkEnd w:id="46"/>
    </w:p>
    <w:p>
      <w:pPr>
        <w:pStyle w:val="ReferenceEntry"/>
        <w:numPr>
          <w:ilvl w:val="0"/>
          <w:numId w:val="1002"/>
        </w:numPr>
        <w:spacing w:after="60"/>
        <w:ind w:left="360" w:hanging="259"/>
        <w:jc w:val="left"/>
        <w:keepNext w:val="0"/>
        <w:keepLines w:val="0"/>
        <w:widowControl w:val="1"/>
      </w:pPr>
      <w:r>
        <w:rPr>
          <w:rFonts w:ascii="Georgia" w:hAnsi="Georgia"/>
          <w:sz w:val="20"/>
        </w:rPr>
        <w:t xml:space="preserve">3. </w:t>
      </w:r>
      <w:bookmarkStart w:id="48"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7">
        <w:r>
          <w:rPr>
            <w:rStyle w:val="Hyperlink"/>
          </w:rPr>
          <w:t xml:space="preserve">arxiv.org/abs/2405.01535</w:t>
        </w:r>
      </w:hyperlink>
      <w:bookmarkEnd w:id="48"/>
    </w:p>
    <w:p>
      <w:pPr>
        <w:pStyle w:val="ReferenceEntry"/>
        <w:numPr>
          <w:ilvl w:val="0"/>
          <w:numId w:val="1002"/>
        </w:numPr>
        <w:spacing w:after="60"/>
        <w:ind w:left="360" w:hanging="259"/>
        <w:jc w:val="left"/>
        <w:keepNext w:val="0"/>
        <w:keepLines w:val="0"/>
        <w:widowControl w:val="1"/>
      </w:pPr>
      <w:r>
        <w:rPr>
          <w:rFonts w:ascii="Georgia" w:hAnsi="Georgia"/>
          <w:sz w:val="20"/>
        </w:rPr>
        <w:t xml:space="preserve">4. </w:t>
      </w:r>
      <w:bookmarkStart w:id="50"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49">
        <w:r>
          <w:rPr>
            <w:rStyle w:val="Hyperlink"/>
          </w:rPr>
          <w:t xml:space="preserve">arxiv.org/abs/2407.10817</w:t>
        </w:r>
      </w:hyperlink>
      <w:bookmarkEnd w:id="50"/>
    </w:p>
    <w:p>
      <w:pPr>
        <w:pStyle w:val="ReferenceEntry"/>
        <w:numPr>
          <w:ilvl w:val="0"/>
          <w:numId w:val="1002"/>
        </w:numPr>
        <w:spacing w:after="60"/>
        <w:ind w:left="360" w:hanging="259"/>
        <w:jc w:val="left"/>
        <w:keepNext w:val="0"/>
        <w:keepLines w:val="0"/>
        <w:widowControl w:val="1"/>
      </w:pPr>
      <w:r>
        <w:rPr>
          <w:rFonts w:ascii="Georgia" w:hAnsi="Georgia"/>
          <w:sz w:val="20"/>
        </w:rPr>
        <w:t xml:space="preserve">5. </w:t>
      </w:r>
      <w:bookmarkStart w:id="52"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1">
        <w:r>
          <w:rPr>
            <w:rStyle w:val="Hyperlink"/>
          </w:rPr>
          <w:t xml:space="preserve">arxiv.org/abs/2404.18796</w:t>
        </w:r>
      </w:hyperlink>
      <w:bookmarkEnd w:id="52"/>
    </w:p>
    <w:p>
      <w:pPr>
        <w:pStyle w:val="ReferenceEntry"/>
        <w:numPr>
          <w:ilvl w:val="0"/>
          <w:numId w:val="1002"/>
        </w:numPr>
        <w:spacing w:after="60"/>
        <w:ind w:left="360" w:hanging="259"/>
        <w:jc w:val="left"/>
        <w:keepNext w:val="0"/>
        <w:keepLines w:val="0"/>
        <w:widowControl w:val="1"/>
      </w:pPr>
      <w:r>
        <w:rPr>
          <w:rFonts w:ascii="Georgia" w:hAnsi="Georgia"/>
          <w:sz w:val="20"/>
        </w:rPr>
        <w:t xml:space="preserve">6. </w:t>
      </w:r>
      <w:bookmarkStart w:id="54"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3">
        <w:r>
          <w:rPr>
            <w:rStyle w:val="Hyperlink"/>
          </w:rPr>
          <w:t xml:space="preserve">arxiv.org/abs/2410.12784</w:t>
        </w:r>
      </w:hyperlink>
      <w:bookmarkEnd w:id="54"/>
    </w:p>
    <w:p>
      <w:pPr>
        <w:pStyle w:val="ReferenceEntry"/>
        <w:numPr>
          <w:ilvl w:val="0"/>
          <w:numId w:val="1002"/>
        </w:numPr>
        <w:spacing w:after="60"/>
        <w:ind w:left="360" w:hanging="259"/>
        <w:jc w:val="left"/>
        <w:keepNext w:val="0"/>
        <w:keepLines w:val="0"/>
        <w:widowControl w:val="1"/>
      </w:pPr>
      <w:r>
        <w:rPr>
          <w:rFonts w:ascii="Georgia" w:hAnsi="Georgia"/>
          <w:sz w:val="20"/>
        </w:rPr>
        <w:t xml:space="preserve">7. </w:t>
      </w:r>
      <w:bookmarkStart w:id="56"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5">
        <w:r>
          <w:rPr>
            <w:rStyle w:val="Hyperlink"/>
          </w:rPr>
          <w:t xml:space="preserve">arxiv.org/abs/2406.05761</w:t>
        </w:r>
      </w:hyperlink>
      <w:bookmarkEnd w:id="56"/>
    </w:p>
    <w:p>
      <w:pPr>
        <w:pStyle w:val="ReferenceEntry"/>
        <w:numPr>
          <w:ilvl w:val="0"/>
          <w:numId w:val="1002"/>
        </w:numPr>
        <w:spacing w:after="60"/>
        <w:ind w:left="360" w:hanging="259"/>
        <w:jc w:val="left"/>
        <w:keepNext w:val="0"/>
        <w:keepLines w:val="0"/>
        <w:widowControl w:val="1"/>
      </w:pPr>
      <w:r>
        <w:rPr>
          <w:rFonts w:ascii="Georgia" w:hAnsi="Georgia"/>
          <w:sz w:val="20"/>
        </w:rPr>
        <w:t xml:space="preserve">8. </w:t>
      </w:r>
      <w:bookmarkStart w:id="58"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7">
        <w:r>
          <w:rPr>
            <w:rStyle w:val="Hyperlink"/>
          </w:rPr>
          <w:t xml:space="preserve">arxiv.org/abs/2404.04475</w:t>
        </w:r>
      </w:hyperlink>
      <w:bookmarkEnd w:id="58"/>
    </w:p>
    <w:p>
      <w:pPr>
        <w:pStyle w:val="ReferenceEntry"/>
        <w:numPr>
          <w:ilvl w:val="0"/>
          <w:numId w:val="1002"/>
        </w:numPr>
        <w:spacing w:after="60"/>
        <w:ind w:left="360" w:hanging="259"/>
        <w:jc w:val="left"/>
        <w:keepNext w:val="0"/>
        <w:keepLines w:val="0"/>
        <w:widowControl w:val="1"/>
      </w:pPr>
      <w:r>
        <w:rPr>
          <w:rFonts w:ascii="Georgia" w:hAnsi="Georgia"/>
          <w:sz w:val="20"/>
        </w:rPr>
        <w:t xml:space="preserve">9. </w:t>
      </w:r>
      <w:bookmarkStart w:id="60" w:name="r9"/>
      <w:r>
        <w:t xml:space="preserve">Li, X. L., Kazemi, M., et al. (2024).</w:t>
      </w:r>
      <w:r>
        <w:t xml:space="preserve"> </w:t>
      </w:r>
      <w:r>
        <w:rPr>
          <w:i/>
          <w:iCs/>
        </w:rPr>
        <w:t xml:space="preserve">AutoBencher: Towards Declarative Benchmark Construction.</w:t>
      </w:r>
      <w:r>
        <w:t xml:space="preserve"> </w:t>
      </w:r>
      <w:hyperlink r:id="rId59">
        <w:r>
          <w:rPr>
            <w:rStyle w:val="Hyperlink"/>
          </w:rPr>
          <w:t xml:space="preserve">arxiv.org/abs/2407.08351</w:t>
        </w:r>
      </w:hyperlink>
      <w:bookmarkEnd w:id="60"/>
    </w:p>
    <w:p>
      <w:pPr>
        <w:pStyle w:val="ReferenceEntry"/>
        <w:numPr>
          <w:ilvl w:val="0"/>
          <w:numId w:val="1002"/>
        </w:numPr>
        <w:spacing w:after="60"/>
        <w:ind w:left="360" w:hanging="259"/>
        <w:jc w:val="left"/>
        <w:keepNext w:val="0"/>
        <w:keepLines w:val="0"/>
        <w:widowControl w:val="1"/>
      </w:pPr>
      <w:r>
        <w:rPr>
          <w:rFonts w:ascii="Georgia" w:hAnsi="Georgia"/>
          <w:sz w:val="20"/>
        </w:rPr>
        <w:t xml:space="preserve">10. </w:t>
      </w:r>
      <w:bookmarkStart w:id="62"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1">
        <w:r>
          <w:rPr>
            <w:rStyle w:val="Hyperlink"/>
          </w:rPr>
          <w:t xml:space="preserve">arxiv.org/abs/2410.22584</w:t>
        </w:r>
      </w:hyperlink>
      <w:bookmarkEnd w:id="62"/>
    </w:p>
    <w:p>
      <w:pPr>
        <w:pStyle w:val="ReferenceEntry"/>
        <w:numPr>
          <w:ilvl w:val="0"/>
          <w:numId w:val="1002"/>
        </w:numPr>
        <w:spacing w:after="60"/>
        <w:ind w:left="360" w:hanging="259"/>
        <w:jc w:val="left"/>
        <w:keepNext w:val="0"/>
        <w:keepLines w:val="0"/>
        <w:widowControl w:val="1"/>
      </w:pPr>
      <w:r>
        <w:rPr>
          <w:rFonts w:ascii="Georgia" w:hAnsi="Georgia"/>
          <w:sz w:val="20"/>
        </w:rPr>
        <w:t xml:space="preserve">11. </w:t>
      </w:r>
      <w:bookmarkStart w:id="64" w:name="r11"/>
      <w:r>
        <w:t xml:space="preserve">Shashidhar, S., et al. (2025).</w:t>
      </w:r>
      <w:r>
        <w:t xml:space="preserve"> </w:t>
      </w:r>
      <w:r>
        <w:rPr>
          <w:i/>
          <w:iCs/>
        </w:rPr>
        <w:t xml:space="preserve">YourBench: Easy Custom Evaluation Sets for Everyone.</w:t>
      </w:r>
      <w:r>
        <w:t xml:space="preserve"> </w:t>
      </w:r>
      <w:hyperlink r:id="rId63">
        <w:r>
          <w:rPr>
            <w:rStyle w:val="Hyperlink"/>
          </w:rPr>
          <w:t xml:space="preserve">arxiv.org/abs/2504.01833</w:t>
        </w:r>
      </w:hyperlink>
      <w:bookmarkEnd w:id="64"/>
    </w:p>
    <w:p>
      <w:pPr>
        <w:pStyle w:val="ReferenceEntry"/>
        <w:numPr>
          <w:ilvl w:val="0"/>
          <w:numId w:val="1002"/>
        </w:numPr>
        <w:spacing w:after="60"/>
        <w:ind w:left="360" w:hanging="259"/>
        <w:jc w:val="left"/>
        <w:keepNext w:val="0"/>
        <w:keepLines w:val="0"/>
        <w:widowControl w:val="1"/>
      </w:pPr>
      <w:r>
        <w:rPr>
          <w:rFonts w:ascii="Georgia" w:hAnsi="Georgia"/>
          <w:sz w:val="20"/>
        </w:rPr>
        <w:t xml:space="preserve">12. </w:t>
      </w:r>
      <w:bookmarkStart w:id="66"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5">
        <w:r>
          <w:rPr>
            <w:rStyle w:val="Hyperlink"/>
          </w:rPr>
          <w:t xml:space="preserve">arxiv.org/abs/2405.00332</w:t>
        </w:r>
      </w:hyperlink>
      <w:bookmarkEnd w:id="66"/>
    </w:p>
    <w:p>
      <w:pPr>
        <w:pStyle w:val="ReferenceEntry"/>
        <w:numPr>
          <w:ilvl w:val="0"/>
          <w:numId w:val="1002"/>
        </w:numPr>
        <w:spacing w:after="60"/>
        <w:ind w:left="360" w:hanging="259"/>
        <w:jc w:val="left"/>
        <w:keepNext w:val="0"/>
        <w:keepLines w:val="0"/>
        <w:widowControl w:val="1"/>
      </w:pPr>
      <w:r>
        <w:rPr>
          <w:rFonts w:ascii="Georgia" w:hAnsi="Georgia"/>
          <w:sz w:val="20"/>
        </w:rPr>
        <w:t xml:space="preserve">13. </w:t>
      </w:r>
      <w:bookmarkStart w:id="68" w:name="r13"/>
      <w:r>
        <w:t xml:space="preserve">Xu, C., et al. (2025).</w:t>
      </w:r>
      <w:r>
        <w:t xml:space="preserve"> </w:t>
      </w:r>
      <w:r>
        <w:rPr>
          <w:i/>
          <w:iCs/>
        </w:rPr>
        <w:t xml:space="preserve">Benchmark Data Contamination of Large Language Models: A Survey.</w:t>
      </w:r>
      <w:r>
        <w:t xml:space="preserve"> </w:t>
      </w:r>
      <w:hyperlink r:id="rId67">
        <w:r>
          <w:rPr>
            <w:rStyle w:val="Hyperlink"/>
          </w:rPr>
          <w:t xml:space="preserve">arxiv.org/abs/2502.14425</w:t>
        </w:r>
      </w:hyperlink>
      <w:bookmarkEnd w:id="68"/>
    </w:p>
    <w:p>
      <w:pPr>
        <w:pStyle w:val="ReferenceEntry"/>
        <w:numPr>
          <w:ilvl w:val="0"/>
          <w:numId w:val="1002"/>
        </w:numPr>
        <w:spacing w:after="60"/>
        <w:ind w:left="360" w:hanging="259"/>
        <w:jc w:val="left"/>
        <w:keepNext w:val="0"/>
        <w:keepLines w:val="0"/>
        <w:widowControl w:val="1"/>
      </w:pPr>
      <w:r>
        <w:rPr>
          <w:rFonts w:ascii="Georgia" w:hAnsi="Georgia"/>
          <w:sz w:val="20"/>
        </w:rPr>
        <w:t xml:space="preserve">14. </w:t>
      </w:r>
      <w:bookmarkStart w:id="70"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69">
        <w:r>
          <w:rPr>
            <w:rStyle w:val="Hyperlink"/>
          </w:rPr>
          <w:t xml:space="preserve">arxiv.org/abs/2104.14337</w:t>
        </w:r>
      </w:hyperlink>
      <w:bookmarkEnd w:id="70"/>
    </w:p>
    <w:p>
      <w:pPr>
        <w:pStyle w:val="ReferenceEntry"/>
        <w:numPr>
          <w:ilvl w:val="0"/>
          <w:numId w:val="1002"/>
        </w:numPr>
        <w:spacing w:after="60"/>
        <w:ind w:left="360" w:hanging="259"/>
        <w:jc w:val="left"/>
        <w:keepNext w:val="0"/>
        <w:keepLines w:val="0"/>
        <w:widowControl w:val="1"/>
      </w:pPr>
      <w:r>
        <w:rPr>
          <w:rFonts w:ascii="Georgia" w:hAnsi="Georgia"/>
          <w:sz w:val="20"/>
        </w:rPr>
        <w:t xml:space="preserve">15. </w:t>
      </w:r>
      <w:bookmarkStart w:id="72"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1">
        <w:r>
          <w:rPr>
            <w:rStyle w:val="Hyperlink"/>
          </w:rPr>
          <w:t xml:space="preserve">arxiv.org/abs/2502.01534</w:t>
        </w:r>
      </w:hyperlink>
      <w:bookmarkEnd w:id="72"/>
    </w:p>
    <w:p>
      <w:pPr>
        <w:pStyle w:val="ReferenceEntry"/>
        <w:numPr>
          <w:ilvl w:val="0"/>
          <w:numId w:val="1002"/>
        </w:numPr>
        <w:spacing w:after="60"/>
        <w:ind w:left="360" w:hanging="259"/>
        <w:jc w:val="left"/>
        <w:keepNext w:val="0"/>
        <w:keepLines w:val="0"/>
        <w:widowControl w:val="1"/>
      </w:pPr>
      <w:r>
        <w:rPr>
          <w:rFonts w:ascii="Georgia" w:hAnsi="Georgia"/>
          <w:sz w:val="20"/>
        </w:rPr>
        <w:t xml:space="preserve">16. </w:t>
      </w:r>
      <w:bookmarkStart w:id="74"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3">
        <w:r>
          <w:rPr>
            <w:rStyle w:val="Hyperlink"/>
          </w:rPr>
          <w:t xml:space="preserve">arxiv.org/abs/2508.06709</w:t>
        </w:r>
      </w:hyperlink>
      <w:bookmarkEnd w:id="74"/>
    </w:p>
    <w:p>
      <w:pPr>
        <w:pStyle w:val="ReferenceEntry"/>
        <w:numPr>
          <w:ilvl w:val="0"/>
          <w:numId w:val="1002"/>
        </w:numPr>
        <w:spacing w:after="60"/>
        <w:ind w:left="360" w:hanging="259"/>
        <w:jc w:val="left"/>
        <w:keepNext w:val="0"/>
        <w:keepLines w:val="0"/>
        <w:widowControl w:val="1"/>
      </w:pPr>
      <w:r>
        <w:rPr>
          <w:rFonts w:ascii="Georgia" w:hAnsi="Georgia"/>
          <w:sz w:val="20"/>
        </w:rPr>
        <w:t xml:space="preserve">17. </w:t>
      </w:r>
      <w:bookmarkStart w:id="76"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5">
        <w:r>
          <w:rPr>
            <w:rStyle w:val="Hyperlink"/>
          </w:rPr>
          <w:t xml:space="preserve">arxiv.org/abs/2410.02736</w:t>
        </w:r>
      </w:hyperlink>
      <w:bookmarkEnd w:id="76"/>
    </w:p>
    <w:p>
      <w:pPr>
        <w:pStyle w:val="ReferenceEntry"/>
        <w:numPr>
          <w:ilvl w:val="0"/>
          <w:numId w:val="1002"/>
        </w:numPr>
        <w:spacing w:after="60"/>
        <w:ind w:left="360" w:hanging="259"/>
        <w:jc w:val="left"/>
        <w:keepNext w:val="0"/>
        <w:keepLines w:val="0"/>
        <w:widowControl w:val="1"/>
      </w:pPr>
      <w:r>
        <w:rPr>
          <w:rFonts w:ascii="Georgia" w:hAnsi="Georgia"/>
          <w:sz w:val="20"/>
        </w:rPr>
        <w:t xml:space="preserve">18. </w:t>
      </w:r>
      <w:bookmarkStart w:id="78" w:name="r18"/>
      <w:r>
        <w:t xml:space="preserve">Wataoka, K., Takahashi, T., Ri, R. (2024).</w:t>
      </w:r>
      <w:r>
        <w:t xml:space="preserve"> </w:t>
      </w:r>
      <w:r>
        <w:rPr>
          <w:i/>
          <w:iCs/>
        </w:rPr>
        <w:t xml:space="preserve">Self-Preference Bias in LLM-as-a-Judge.</w:t>
      </w:r>
      <w:r>
        <w:t xml:space="preserve"> </w:t>
      </w:r>
      <w:hyperlink r:id="rId77">
        <w:r>
          <w:rPr>
            <w:rStyle w:val="Hyperlink"/>
          </w:rPr>
          <w:t xml:space="preserve">arxiv.org/abs/2410.21819</w:t>
        </w:r>
      </w:hyperlink>
      <w:bookmarkEnd w:id="78"/>
    </w:p>
    <w:p>
      <w:pPr>
        <w:pStyle w:val="ReferenceEntry"/>
        <w:numPr>
          <w:ilvl w:val="0"/>
          <w:numId w:val="1002"/>
        </w:numPr>
        <w:spacing w:after="60"/>
        <w:ind w:left="360" w:hanging="259"/>
        <w:jc w:val="left"/>
        <w:keepNext w:val="0"/>
        <w:keepLines w:val="0"/>
        <w:widowControl w:val="1"/>
      </w:pPr>
      <w:r>
        <w:rPr>
          <w:rFonts w:ascii="Georgia" w:hAnsi="Georgia"/>
          <w:sz w:val="20"/>
        </w:rPr>
        <w:t xml:space="preserve">19. </w:t>
      </w:r>
      <w:bookmarkStart w:id="80" w:name="r19"/>
      <w:r>
        <w:t xml:space="preserve">Gu, J., Jiang, X., Shi, Z., et al. (2024).</w:t>
      </w:r>
      <w:r>
        <w:t xml:space="preserve"> </w:t>
      </w:r>
      <w:r>
        <w:rPr>
          <w:i/>
          <w:iCs/>
        </w:rPr>
        <w:t xml:space="preserve">A Survey on LLM-as-a-Judge.</w:t>
      </w:r>
      <w:r>
        <w:t xml:space="preserve"> </w:t>
      </w:r>
      <w:hyperlink r:id="rId79">
        <w:r>
          <w:rPr>
            <w:rStyle w:val="Hyperlink"/>
          </w:rPr>
          <w:t xml:space="preserve">arxiv.org/abs/2411.15594</w:t>
        </w:r>
      </w:hyperlink>
      <w:bookmarkEnd w:id="80"/>
    </w:p>
    <w:p>
      <w:pPr>
        <w:pStyle w:val="ReferenceEntry"/>
        <w:numPr>
          <w:ilvl w:val="0"/>
          <w:numId w:val="1002"/>
        </w:numPr>
        <w:spacing w:after="60"/>
        <w:ind w:left="360" w:hanging="259"/>
        <w:jc w:val="left"/>
        <w:keepNext w:val="0"/>
        <w:keepLines w:val="0"/>
        <w:widowControl w:val="1"/>
      </w:pPr>
      <w:r>
        <w:rPr>
          <w:rFonts w:ascii="Georgia" w:hAnsi="Georgia"/>
          <w:sz w:val="20"/>
        </w:rPr>
        <w:t xml:space="preserve">20. </w:t>
      </w:r>
      <w:bookmarkStart w:id="82"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1">
        <w:r>
          <w:rPr>
            <w:rStyle w:val="Hyperlink"/>
          </w:rPr>
          <w:t xml:space="preserve">arxiv.org/abs/2411.16594</w:t>
        </w:r>
      </w:hyperlink>
      <w:bookmarkEnd w:id="82"/>
    </w:p>
    <w:p>
      <w:pPr>
        <w:pStyle w:val="ReferenceEntry"/>
        <w:numPr>
          <w:ilvl w:val="0"/>
          <w:numId w:val="1002"/>
        </w:numPr>
        <w:spacing w:after="60"/>
        <w:ind w:left="360" w:hanging="259"/>
        <w:jc w:val="left"/>
        <w:keepNext w:val="0"/>
        <w:keepLines w:val="0"/>
        <w:widowControl w:val="1"/>
      </w:pPr>
      <w:r>
        <w:rPr>
          <w:rFonts w:ascii="Georgia" w:hAnsi="Georgia"/>
          <w:sz w:val="20"/>
        </w:rPr>
        <w:t xml:space="preserve">21. </w:t>
      </w:r>
      <w:bookmarkStart w:id="84"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3">
        <w:r>
          <w:rPr>
            <w:rStyle w:val="Hyperlink"/>
          </w:rPr>
          <w:t xml:space="preserve">arxiv.org/abs/2308.07201</w:t>
        </w:r>
      </w:hyperlink>
      <w:bookmarkEnd w:id="84"/>
    </w:p>
    <w:p>
      <w:pPr>
        <w:pStyle w:val="ReferenceEntry"/>
        <w:numPr>
          <w:ilvl w:val="0"/>
          <w:numId w:val="1002"/>
        </w:numPr>
        <w:spacing w:after="60"/>
        <w:ind w:left="360" w:hanging="259"/>
        <w:jc w:val="left"/>
        <w:keepNext w:val="0"/>
        <w:keepLines w:val="0"/>
        <w:widowControl w:val="1"/>
      </w:pPr>
      <w:r>
        <w:rPr>
          <w:rFonts w:ascii="Georgia" w:hAnsi="Georgia"/>
          <w:sz w:val="20"/>
        </w:rPr>
        <w:t xml:space="preserve">22. </w:t>
      </w:r>
      <w:bookmarkStart w:id="86"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5">
        <w:r>
          <w:rPr>
            <w:rStyle w:val="Hyperlink"/>
          </w:rPr>
          <w:t xml:space="preserve">arxiv.org/abs/2406.19314</w:t>
        </w:r>
      </w:hyperlink>
      <w:bookmarkEnd w:id="86"/>
    </w:p>
    <w:p>
      <w:pPr>
        <w:pStyle w:val="ReferenceEntry"/>
        <w:numPr>
          <w:ilvl w:val="0"/>
          <w:numId w:val="1002"/>
        </w:numPr>
        <w:spacing w:after="60"/>
        <w:ind w:left="360" w:hanging="259"/>
        <w:jc w:val="left"/>
        <w:keepNext w:val="0"/>
        <w:keepLines w:val="0"/>
        <w:widowControl w:val="1"/>
      </w:pPr>
      <w:r>
        <w:rPr>
          <w:rFonts w:ascii="Georgia" w:hAnsi="Georgia"/>
          <w:sz w:val="20"/>
        </w:rPr>
        <w:t xml:space="preserve">23. </w:t>
      </w:r>
      <w:bookmarkStart w:id="88"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7">
        <w:r>
          <w:rPr>
            <w:rStyle w:val="Hyperlink"/>
          </w:rPr>
          <w:t xml:space="preserve">arxiv.org/abs/2403.07974</w:t>
        </w:r>
      </w:hyperlink>
      <w:bookmarkEnd w:id="88"/>
    </w:p>
    <w:p>
      <w:pPr>
        <w:pStyle w:val="ReferenceEntry"/>
        <w:numPr>
          <w:ilvl w:val="0"/>
          <w:numId w:val="1002"/>
        </w:numPr>
        <w:spacing w:after="60"/>
        <w:ind w:left="360" w:hanging="259"/>
        <w:jc w:val="left"/>
        <w:keepNext w:val="0"/>
        <w:keepLines w:val="0"/>
        <w:widowControl w:val="1"/>
      </w:pPr>
      <w:r>
        <w:rPr>
          <w:rFonts w:ascii="Georgia" w:hAnsi="Georgia"/>
          <w:sz w:val="20"/>
        </w:rPr>
        <w:t xml:space="preserve">24. </w:t>
      </w:r>
      <w:bookmarkStart w:id="90"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89">
        <w:r>
          <w:rPr>
            <w:rStyle w:val="Hyperlink"/>
          </w:rPr>
          <w:t xml:space="preserve">arxiv.org/abs/2504.03846</w:t>
        </w:r>
      </w:hyperlink>
      <w:bookmarkEnd w:id="90"/>
    </w:p>
    <w:p>
      <w:pPr>
        <w:pStyle w:val="ReferenceEntry"/>
        <w:numPr>
          <w:ilvl w:val="0"/>
          <w:numId w:val="1002"/>
        </w:numPr>
        <w:spacing w:after="60"/>
        <w:ind w:left="360" w:hanging="259"/>
        <w:jc w:val="left"/>
        <w:keepNext w:val="0"/>
        <w:keepLines w:val="0"/>
        <w:widowControl w:val="1"/>
      </w:pPr>
      <w:r>
        <w:rPr>
          <w:rFonts w:ascii="Georgia" w:hAnsi="Georgia"/>
          <w:sz w:val="20"/>
        </w:rPr>
        <w:t xml:space="preserve">25. </w:t>
      </w:r>
      <w:bookmarkStart w:id="92"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1">
        <w:r>
          <w:rPr>
            <w:rStyle w:val="Hyperlink"/>
          </w:rPr>
          <w:t xml:space="preserve">arxiv.org/abs/2408.08808</w:t>
        </w:r>
      </w:hyperlink>
      <w:bookmarkEnd w:id="92"/>
    </w:p>
    <w:p>
      <w:pPr>
        <w:pStyle w:val="ReferenceEntry"/>
        <w:numPr>
          <w:ilvl w:val="0"/>
          <w:numId w:val="1002"/>
        </w:numPr>
        <w:spacing w:after="60"/>
        <w:ind w:left="360" w:hanging="259"/>
        <w:jc w:val="left"/>
        <w:keepNext w:val="0"/>
        <w:keepLines w:val="0"/>
        <w:widowControl w:val="1"/>
      </w:pPr>
      <w:r>
        <w:rPr>
          <w:rFonts w:ascii="Georgia" w:hAnsi="Georgia"/>
          <w:sz w:val="20"/>
        </w:rPr>
        <w:t xml:space="preserve">26. </w:t>
      </w:r>
      <w:bookmarkStart w:id="94" w:name="r26"/>
      <w:r>
        <w:t xml:space="preserve">Li, Y., et al. (2025).</w:t>
      </w:r>
      <w:r>
        <w:t xml:space="preserve"> </w:t>
      </w:r>
      <w:r>
        <w:rPr>
          <w:i/>
          <w:iCs/>
        </w:rPr>
        <w:t xml:space="preserve">Leveraging LLMs as Meta-Judges: A Multi-Agent Framework.</w:t>
      </w:r>
      <w:r>
        <w:t xml:space="preserve"> </w:t>
      </w:r>
      <w:hyperlink r:id="rId93">
        <w:r>
          <w:rPr>
            <w:rStyle w:val="Hyperlink"/>
          </w:rPr>
          <w:t xml:space="preserve">arxiv.org/abs/2504.17087</w:t>
        </w:r>
      </w:hyperlink>
      <w:bookmarkEnd w:id="94"/>
    </w:p>
    <w:p>
      <w:pPr>
        <w:pStyle w:val="ReferenceEntry"/>
        <w:numPr>
          <w:ilvl w:val="0"/>
          <w:numId w:val="1002"/>
        </w:numPr>
        <w:spacing w:after="60"/>
        <w:ind w:left="360" w:hanging="259"/>
        <w:jc w:val="left"/>
        <w:keepNext w:val="0"/>
        <w:keepLines w:val="0"/>
        <w:widowControl w:val="1"/>
      </w:pPr>
      <w:r>
        <w:rPr>
          <w:rFonts w:ascii="Georgia" w:hAnsi="Georgia"/>
          <w:sz w:val="20"/>
        </w:rPr>
        <w:t xml:space="preserve">27. </w:t>
      </w:r>
      <w:bookmarkStart w:id="96"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5">
        <w:r>
          <w:rPr>
            <w:rStyle w:val="Hyperlink"/>
          </w:rPr>
          <w:t xml:space="preserve">arxiv.org/abs/2602.16610</w:t>
        </w:r>
      </w:hyperlink>
      <w:bookmarkEnd w:id="96"/>
    </w:p>
    <w:p>
      <w:pPr>
        <w:pStyle w:val="ReferenceEntry"/>
        <w:numPr>
          <w:ilvl w:val="0"/>
          <w:numId w:val="1002"/>
        </w:numPr>
        <w:spacing w:after="60"/>
        <w:ind w:left="360" w:hanging="259"/>
        <w:jc w:val="left"/>
        <w:keepNext w:val="0"/>
        <w:keepLines w:val="0"/>
        <w:widowControl w:val="1"/>
      </w:pPr>
      <w:r>
        <w:rPr>
          <w:rFonts w:ascii="Georgia" w:hAnsi="Georgia"/>
          <w:sz w:val="20"/>
        </w:rPr>
        <w:t xml:space="preserve">28. </w:t>
      </w:r>
      <w:bookmarkStart w:id="98"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7">
        <w:r>
          <w:rPr>
            <w:rStyle w:val="Hyperlink"/>
          </w:rPr>
          <w:t xml:space="preserve">arxiv.org/abs/2603.00039</w:t>
        </w:r>
      </w:hyperlink>
      <w:bookmarkEnd w:id="98"/>
    </w:p>
    <w:p>
      <w:pPr>
        <w:pStyle w:val="ReferenceEntry"/>
        <w:numPr>
          <w:ilvl w:val="0"/>
          <w:numId w:val="1002"/>
        </w:numPr>
        <w:spacing w:after="60"/>
        <w:ind w:left="360" w:hanging="259"/>
        <w:jc w:val="left"/>
        <w:keepNext w:val="0"/>
        <w:keepLines w:val="0"/>
        <w:widowControl w:val="1"/>
      </w:pPr>
      <w:r>
        <w:rPr>
          <w:rFonts w:ascii="Georgia" w:hAnsi="Georgia"/>
          <w:sz w:val="20"/>
        </w:rPr>
        <w:t xml:space="preserve">29. </w:t>
      </w:r>
      <w:bookmarkStart w:id="100"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99">
        <w:r>
          <w:rPr>
            <w:rStyle w:val="Hyperlink"/>
          </w:rPr>
          <w:t xml:space="preserve">arxiv.org/abs/2601.21817</w:t>
        </w:r>
      </w:hyperlink>
      <w:bookmarkEnd w:id="100"/>
    </w:p>
    <w:p>
      <w:pPr>
        <w:pStyle w:val="ReferenceEntry"/>
        <w:numPr>
          <w:ilvl w:val="0"/>
          <w:numId w:val="1002"/>
        </w:numPr>
        <w:spacing w:after="60"/>
        <w:ind w:left="360" w:hanging="259"/>
        <w:jc w:val="left"/>
        <w:keepNext w:val="0"/>
        <w:keepLines w:val="0"/>
        <w:widowControl w:val="1"/>
      </w:pPr>
      <w:r>
        <w:rPr>
          <w:rFonts w:ascii="Georgia" w:hAnsi="Georgia"/>
          <w:sz w:val="20"/>
        </w:rPr>
        <w:t xml:space="preserve">30. </w:t>
      </w:r>
      <w:bookmarkStart w:id="102"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1">
        <w:r>
          <w:rPr>
            <w:rStyle w:val="Hyperlink"/>
          </w:rPr>
          <w:t xml:space="preserve">arxiv.org/abs/2502.14678</w:t>
        </w:r>
      </w:hyperlink>
      <w:bookmarkEnd w:id="102"/>
    </w:p>
    <w:p>
      <w:pPr>
        <w:pStyle w:val="ReferenceEntry"/>
        <w:numPr>
          <w:ilvl w:val="0"/>
          <w:numId w:val="1002"/>
        </w:numPr>
        <w:spacing w:after="60"/>
        <w:ind w:left="360" w:hanging="259"/>
        <w:jc w:val="left"/>
        <w:keepNext w:val="0"/>
        <w:keepLines w:val="0"/>
        <w:widowControl w:val="1"/>
      </w:pPr>
      <w:r>
        <w:rPr>
          <w:rFonts w:ascii="Georgia" w:hAnsi="Georgia"/>
          <w:sz w:val="20"/>
        </w:rPr>
        <w:t xml:space="preserve">31. </w:t>
      </w:r>
      <w:bookmarkStart w:id="104"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3">
        <w:r>
          <w:rPr>
            <w:rStyle w:val="Hyperlink"/>
          </w:rPr>
          <w:t xml:space="preserve">arxiv.org/abs/2501.12789</w:t>
        </w:r>
      </w:hyperlink>
      <w:bookmarkEnd w:id="104"/>
    </w:p>
    <w:p>
      <w:pPr>
        <w:pStyle w:val="ReferenceEntry"/>
        <w:numPr>
          <w:ilvl w:val="0"/>
          <w:numId w:val="1002"/>
        </w:numPr>
        <w:spacing w:after="60"/>
        <w:ind w:left="360" w:hanging="259"/>
        <w:jc w:val="left"/>
        <w:keepNext w:val="0"/>
        <w:keepLines w:val="0"/>
        <w:widowControl w:val="1"/>
      </w:pPr>
      <w:r>
        <w:rPr>
          <w:rFonts w:ascii="Georgia" w:hAnsi="Georgia"/>
          <w:sz w:val="20"/>
        </w:rPr>
        <w:t xml:space="preserve">32. </w:t>
      </w:r>
      <w:bookmarkStart w:id="106"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5">
        <w:r>
          <w:rPr>
            <w:rStyle w:val="Hyperlink"/>
          </w:rPr>
          <w:t xml:space="preserve">arxiv.org/abs/2502.17521</w:t>
        </w:r>
      </w:hyperlink>
      <w:bookmarkEnd w:id="106"/>
    </w:p>
    <w:p>
      <w:pPr>
        <w:pStyle w:val="ReferenceEntry"/>
        <w:numPr>
          <w:ilvl w:val="0"/>
          <w:numId w:val="1002"/>
        </w:numPr>
        <w:spacing w:after="60"/>
        <w:ind w:left="360" w:hanging="259"/>
        <w:jc w:val="left"/>
        <w:keepNext w:val="0"/>
        <w:keepLines w:val="0"/>
        <w:widowControl w:val="1"/>
      </w:pPr>
      <w:r>
        <w:rPr>
          <w:rFonts w:ascii="Georgia" w:hAnsi="Georgia"/>
          <w:sz w:val="20"/>
        </w:rPr>
        <w:t xml:space="preserve">33. </w:t>
      </w:r>
      <w:bookmarkStart w:id="108"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7">
        <w:r>
          <w:rPr>
            <w:rStyle w:val="Hyperlink"/>
          </w:rPr>
          <w:t xml:space="preserve">doi.org/10.2307/2346806</w:t>
        </w:r>
      </w:hyperlink>
      <w:bookmarkEnd w:id="108"/>
    </w:p>
    <w:bookmarkEnd w:id="109"/>
    <w:bookmarkStart w:id="110"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0"/>
    <w:bookmarkStart w:id="114"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112" name="Picture"/>
            <a:graphic>
              <a:graphicData uri="http://schemas.openxmlformats.org/drawingml/2006/picture">
                <pic:pic>
                  <pic:nvPicPr>
                    <pic:cNvPr descr="figures/f5_rubric_heatmap.png" id="113" name="Picture"/>
                    <pic:cNvPicPr>
                      <a:picLocks noChangeArrowheads="1" noChangeAspect="1"/>
                    </pic:cNvPicPr>
                  </pic:nvPicPr>
                  <pic:blipFill>
                    <a:blip r:embed="rId111"/>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Pairwise semantic similarity of the 22 auto-generated rubric criteria across four tasks. Block structure along the diagonal reflects task specialization (within-task 0.342 &gt; cross-task 0.294), while a recurring “completeness” dimension forms a cross-task cluster.</w:t>
      </w:r>
    </w:p>
    <w:bookmarkEnd w:id="114"/>
    <w:bookmarkStart w:id="115" w:name="appC"/>
    <w:p>
      <w:pPr>
        <w:pStyle w:val="Heading2"/>
        <w:keepNext/>
        <w:keepLines/>
        <w:widowControl w:val="1"/>
      </w:pPr>
      <w:r>
        <w:t xml:space="preserve">Appendix C. Worked examples on data-scarce domains</w:t>
      </w:r>
    </w:p>
    <w:p>
      <w:pPr>
        <w:pStyle w:val="FirstParagraph"/>
        <w:jc w:val="both"/>
        <w:keepNext w:val="0"/>
        <w:keepLines w:val="0"/>
        <w:widowControl w:val="1"/>
      </w:pPr>
      <w:r>
        <w:t xml:space="preserve">The three verticals of Section 5.6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6).</w:t>
      </w:r>
    </w:p>
    <w:p>
      <w:pPr>
        <w:pStyle w:val="BodyText"/>
        <w:jc w:val="both"/>
        <w:keepNext w:val="0"/>
        <w:keepLines w:val="0"/>
        <w:widowControl w:val="1"/>
      </w:pPr>
      <w:r>
        <w:t xml:space="preserve">The pipeline is four templated calls to the teacher, all instantiated from the one-line</w:t>
      </w:r>
      <w:r>
        <w:t xml:space="preserve"> </w:t>
      </w:r>
      <w:r>
        <w:rPr>
          <w:rStyle w:val="VerbatimChar"/>
        </w:rPr>
        <w:t xml:space="preserve">task_description</w:t>
      </w:r>
      <w:r>
        <w:t xml:space="preserve"> </w:t>
      </w:r>
      <w:r>
        <w:t xml:space="preserve">(and an optional</w:t>
      </w:r>
      <w:r>
        <w:t xml:space="preserve"> </w:t>
      </w:r>
      <w:r>
        <w:rPr>
          <w:rStyle w:val="VerbatimChar"/>
        </w:rPr>
        <w:t xml:space="preserve">output_description</w:t>
      </w:r>
      <w:r>
        <w:t xml:space="preserve">). The first two build the attribute</w:t>
      </w:r>
      <w:r>
        <w:t xml:space="preserve"> </w:t>
      </w:r>
      <w:r>
        <w:t xml:space="preserve">space the items are stratified over; the third writes the rubric the panel scores against; the fourth generates one</w:t>
      </w:r>
      <w:r>
        <w:t xml:space="preserve"> </w:t>
      </w:r>
      <w:r>
        <w:t xml:space="preserve">contamination-free item per sampled attribute cell. The templates below are the verbatim framework prompts; a sampled</w:t>
      </w:r>
      <w:r>
        <w:t xml:space="preserve"> </w:t>
      </w:r>
      <w:r>
        <w:t xml:space="preserve">cell such as</w:t>
      </w:r>
      <w:r>
        <w:t xml:space="preserve"> </w:t>
      </w:r>
      <w:r>
        <w:rPr>
          <w:i/>
          <w:iCs/>
        </w:rPr>
        <w:t xml:space="preserve">severity = moderate, mechanism = pharmacokinetic, patient_context = pregnancy</w:t>
      </w:r>
      <w:r>
        <w:t xml:space="preserve"> </w:t>
      </w:r>
      <w:r>
        <w:t xml:space="preserve">is what binds</w:t>
      </w:r>
      <w:r>
        <w:t xml:space="preserve"> </w:t>
      </w:r>
      <w:r>
        <w:rPr>
          <w:rStyle w:val="VerbatimChar"/>
        </w:rPr>
        <w:t xml:space="preserve">{target_attributes}</w:t>
      </w:r>
      <w:r>
        <w:t xml:space="preserve"> </w:t>
      </w:r>
      <w:r>
        <w:t xml:space="preserve">and yields the corresponding DDI item shown after Table C1.</w:t>
      </w:r>
    </w:p>
    <w:p>
      <w:pPr>
        <w:pStyle w:val="BodyText"/>
        <w:jc w:val="both"/>
        <w:keepNext w:val="0"/>
        <w:keepLines w:val="0"/>
        <w:widowControl w:val="1"/>
      </w:pPr>
      <w:r>
        <w:rPr>
          <w:b/>
          <w:bCs/>
        </w:rPr>
        <w:t xml:space="preserve">(1) Target-attribute map.</w:t>
      </w:r>
      <w:r>
        <w:t xml:space="preserve"> </w:t>
      </w:r>
      <w:r>
        <w:t xml:space="preserve">Define the axes the benchmark varies over.</w:t>
      </w:r>
    </w:p>
    <w:p>
      <w:pPr>
        <w:pStyle w:val="BodyText"/>
        <w:jc w:val="both"/>
        <w:keepNext w:val="0"/>
        <w:keepLines w:val="0"/>
        <w:widowControl w:val="1"/>
      </w:pPr>
      <w:r>
        <w:rPr>
          <w:rStyle w:val="VerbatimChar"/>
        </w:rPr>
        <w:t xml:space="preserve">Generate synthetic data specifications for the {task_description} task by defining an</w:t>
      </w:r>
      <w:r>
        <w:br/>
      </w:r>
      <w:r>
        <w:rPr>
          <w:rStyle w:val="VerbatimChar"/>
        </w:rPr>
        <w:t xml:space="preserve">attribute space that characterizes possible outputs. Return a JSON object mapping each</w:t>
      </w:r>
      <w:r>
        <w:br/>
      </w:r>
      <w:r>
        <w:rPr>
          <w:rStyle w:val="VerbatimChar"/>
        </w:rPr>
        <w:t xml:space="preserve">attribute name to a list of possible values, and output only the JSON.</w:t>
      </w:r>
    </w:p>
    <w:p>
      <w:pPr>
        <w:pStyle w:val="FirstParagraph"/>
        <w:jc w:val="both"/>
        <w:keepNext w:val="0"/>
        <w:keepLines w:val="0"/>
        <w:widowControl w:val="1"/>
      </w:pPr>
      <w:r>
        <w:rPr>
          <w:b/>
          <w:bCs/>
        </w:rPr>
        <w:t xml:space="preserve">(2) Nuance map.</w:t>
      </w:r>
      <w:r>
        <w:t xml:space="preserve"> </w:t>
      </w:r>
      <w:r>
        <w:t xml:space="preserve">Add surface-variation axes that change phrasing without changing the answer.</w:t>
      </w:r>
    </w:p>
    <w:p>
      <w:pPr>
        <w:pStyle w:val="BodyText"/>
        <w:jc w:val="both"/>
        <w:keepNext w:val="0"/>
        <w:keepLines w:val="0"/>
        <w:widowControl w:val="1"/>
      </w:pPr>
      <w:r>
        <w:rPr>
          <w:rStyle w:val="VerbatimChar"/>
        </w:rPr>
        <w:t xml:space="preserve">Define synthetic data specifications for the {task_description} task by creating a nuanced</w:t>
      </w:r>
      <w:r>
        <w:br/>
      </w:r>
      <w:r>
        <w:rPr>
          <w:rStyle w:val="VerbatimChar"/>
        </w:rPr>
        <w:t xml:space="preserve">variability-focused attribute space. Include only attributes that change document phrasing,</w:t>
      </w:r>
      <w:r>
        <w:br/>
      </w:r>
      <w:r>
        <w:rPr>
          <w:rStyle w:val="VerbatimChar"/>
        </w:rPr>
        <w:t xml:space="preserve">structure, noise, and context, without changing the underlying outputs. Return a single JSON</w:t>
      </w:r>
      <w:r>
        <w:br/>
      </w:r>
      <w:r>
        <w:rPr>
          <w:rStyle w:val="VerbatimChar"/>
        </w:rPr>
        <w:t xml:space="preserve">object mapping each attribute name to a list of allowed values, and output only the JSON.</w:t>
      </w:r>
    </w:p>
    <w:p>
      <w:pPr>
        <w:pStyle w:val="FirstParagraph"/>
        <w:jc w:val="both"/>
        <w:keepNext w:val="0"/>
        <w:keepLines w:val="0"/>
        <w:widowControl w:val="1"/>
      </w:pPr>
      <w:r>
        <w:rPr>
          <w:b/>
          <w:bCs/>
        </w:rPr>
        <w:t xml:space="preserve">(3) Auto-rubric.</w:t>
      </w:r>
      <w:r>
        <w:t xml:space="preserve"> </w:t>
      </w:r>
      <w:r>
        <w:t xml:space="preserve">Write the task-specific scoring factors the judges apply.</w:t>
      </w:r>
    </w:p>
    <w:p>
      <w:pPr>
        <w:pStyle w:val="BodyText"/>
        <w:jc w:val="both"/>
        <w:keepNext w:val="0"/>
        <w:keepLines w:val="0"/>
        <w:widowControl w:val="1"/>
      </w:pPr>
      <w:r>
        <w:rPr>
          <w:rStyle w:val="VerbatimChar"/>
        </w:rPr>
        <w:t xml:space="preserve">For the task {task_description}, where the model's output is {output_description}, create an</w:t>
      </w:r>
      <w:r>
        <w:br/>
      </w:r>
      <w:r>
        <w:rPr>
          <w:rStyle w:val="VerbatimChar"/>
        </w:rPr>
        <w:t xml:space="preserve">evaluation rubric. Return only a JSON object where each key is a quality factor, and each</w:t>
      </w:r>
      <w:r>
        <w:br/>
      </w:r>
      <w:r>
        <w:rPr>
          <w:rStyle w:val="VerbatimChar"/>
        </w:rPr>
        <w:t xml:space="preserve">value is a concise description of that factor. Output only the JSON.</w:t>
      </w:r>
    </w:p>
    <w:p>
      <w:pPr>
        <w:pStyle w:val="FirstParagraph"/>
        <w:jc w:val="both"/>
        <w:keepNext w:val="0"/>
        <w:keepLines w:val="0"/>
        <w:widowControl w:val="1"/>
      </w:pPr>
      <w:r>
        <w:rPr>
          <w:b/>
          <w:bCs/>
        </w:rPr>
        <w:t xml:space="preserve">(4) Item synthesis.</w:t>
      </w:r>
      <w:r>
        <w:t xml:space="preserve"> </w:t>
      </w:r>
      <w:r>
        <w:t xml:space="preserve">Generate one realistic item for a sampled attribute cell.</w:t>
      </w:r>
    </w:p>
    <w:p>
      <w:pPr>
        <w:pStyle w:val="BodyText"/>
        <w:jc w:val="both"/>
        <w:keepNext w:val="0"/>
        <w:keepLines w:val="0"/>
        <w:widowControl w:val="1"/>
      </w:pPr>
      <w:r>
        <w:rPr>
          <w:rStyle w:val="VerbatimChar"/>
        </w:rPr>
        <w:t xml:space="preserve">Generate a realistic benchmark data point.</w:t>
      </w:r>
      <w:r>
        <w:br/>
      </w:r>
      <w:r>
        <w:rPr>
          <w:rStyle w:val="VerbatimChar"/>
        </w:rPr>
        <w:t xml:space="preserve">Task: {task_description}</w:t>
      </w:r>
      <w:r>
        <w:br/>
      </w:r>
      <w:r>
        <w:rPr>
          <w:rStyle w:val="VerbatimChar"/>
        </w:rPr>
        <w:t xml:space="preserve">Output format: {output_description}</w:t>
      </w:r>
      <w:r>
        <w:br/>
      </w:r>
      <w:r>
        <w:rPr>
          <w:rStyle w:val="VerbatimChar"/>
        </w:rPr>
        <w:t xml:space="preserve">Required attributes: {target_attributes}</w:t>
      </w:r>
      <w:r>
        <w:br/>
      </w:r>
      <w:r>
        <w:rPr>
          <w:rStyle w:val="VerbatimChar"/>
        </w:rPr>
        <w:t xml:space="preserve">Nuance: {nuanced_attributes}</w:t>
      </w:r>
      <w:r>
        <w:br/>
      </w:r>
      <w:r>
        <w:br/>
      </w:r>
      <w:r>
        <w:rPr>
          <w:rStyle w:val="VerbatimChar"/>
        </w:rPr>
        <w:t xml:space="preserve">Return only a JSON object with exactly two string keys:</w:t>
      </w:r>
      <w:r>
        <w:br/>
      </w:r>
      <w:r>
        <w:rPr>
          <w:rStyle w:val="VerbatimChar"/>
        </w:rPr>
        <w:t xml:space="preserve">  "prompt":   a realistic input text for the task</w:t>
      </w:r>
      <w:r>
        <w:br/>
      </w:r>
      <w:r>
        <w:rPr>
          <w:rStyle w:val="VerbatimChar"/>
        </w:rPr>
        <w:t xml:space="preserve">  "response": the expected output for that input</w:t>
      </w:r>
      <w:r>
        <w:br/>
      </w:r>
      <w:r>
        <w:rPr>
          <w:rStyle w:val="VerbatimChar"/>
        </w:rPr>
        <w:t xml:space="preserve">Output only the JSON. No explanation or markdown.</w:t>
      </w:r>
    </w:p>
    <w:p>
      <w:pPr>
        <w:pStyle w:val="FirstParagraph"/>
        <w:jc w:val="both"/>
        <w:keepNext w:val="0"/>
        <w:keepLines w:val="0"/>
        <w:widowControl w:val="1"/>
      </w:pPr>
      <w:r>
        <w:t xml:space="preserve">Running this pipeline on the three one-line seeds below produces the auto-generated attribute strata and rubrics in</w:t>
      </w:r>
      <w:r>
        <w:t xml:space="preserve"> </w:t>
      </w:r>
      <w:r>
        <w:t xml:space="preserve">Table C1, and the verbatim items that follow it.</w:t>
      </w:r>
    </w:p>
    <w:p>
      <w:pPr>
        <w:pStyle w:val="TableCaption"/>
        <w:spacing w:before="280" w:after="60" w:line="240" w:lineRule="auto"/>
        <w:jc w:val="center"/>
        <w:keepNext/>
        <w:keepLines/>
        <w:widowControl w:val="1"/>
      </w:pPr>
      <w:r>
        <w:rPr>
          <w:b/>
          <w:i/>
        </w:rPr>
        <w:t>Table C1.</w:t>
      </w:r>
      <w:r>
        <w:rPr>
          <w:b w:val="0"/>
          <w:i/>
        </w:rPr>
        <w:t xml:space="preserve"> </w:t>
      </w:r>
      <w:r>
        <w:rPr>
          <w:b w:val="0"/>
          <w:i/>
        </w:rPr>
        <w:t>From a one-line description to a scored benchmark, for three domains with no public labeled data. The attribute strata and rubric criteria are auto-generated by the teacher; each domain yields 40 stratified, contamination-free items, scored by the cross-family panel.</w:t>
      </w:r>
    </w:p>
    <w:tbl>
      <w:tblPr>
        <w:tblStyle w:val="Table"/>
        <w:tblW w:type="pct" w:w="5000"/>
        <w:jc w:val="center"/>
        <w:tblLayout w:type="autofit"/>
        <w:tblLook w:firstRow="1" w:lastRow="0" w:firstColumn="0" w:lastColumn="0" w:noHBand="0" w:noVBand="0" w:val="0020"/>
        <w:tblCaption w:val="Table C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Domain and one-line seed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attribute strata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rubric</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Drug–drug interaction reasoning</w:t>
            </w:r>
            <w:r>
              <w:rPr>
                <w:rFonts w:ascii="Georgia" w:hAnsi="Georgia"/>
                <w:sz w:val="19"/>
              </w:rPr>
              <w:br/>
            </w:r>
            <w:r>
              <w:rPr>
                <w:rFonts w:ascii="Georgia" w:hAnsi="Georgia"/>
                <w:i/>
                <w:iCs/>
                <w:sz w:val="19"/>
              </w:rPr>
              <w:t xml:space="preserve">"given two or more co-administered drugs and a patient context, assess the interaction, its mechanism, severity, and clinical 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severity {contraindicated, major, moderate, minor}; mechanism {pharmacokinetic, pharmacodynamic};</w:t>
            </w:r>
            <w:r>
              <w:rPr>
                <w:rFonts w:ascii="Georgia" w:hAnsi="Georgia"/>
                <w:sz w:val="19"/>
              </w:rPr>
              <w:t xml:space="preserve"> </w:t>
            </w:r>
            <w:r>
              <w:rPr>
                <w:rFonts w:ascii="Georgia" w:hAnsi="Georgia"/>
                <w:sz w:val="19"/>
              </w:rPr>
              <w:t xml:space="preserve">patient_context {renal, hepatic, polypharmacy-elderly, pregnancy}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interaction_accuracy, severity_correct, safety, completeness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Clinical reasoning</w:t>
            </w:r>
            <w:r>
              <w:rPr>
                <w:rFonts w:ascii="Georgia" w:hAnsi="Georgia"/>
                <w:sz w:val="19"/>
              </w:rPr>
              <w:br/>
            </w:r>
            <w:r>
              <w:rPr>
                <w:rFonts w:ascii="Georgia" w:hAnsi="Georgia"/>
                <w:i/>
                <w:iCs/>
                <w:sz w:val="19"/>
              </w:rPr>
              <w:t xml:space="preserve">"a clinical reasoning question a clinician would face, requiring medical knowledge and safe, accurate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specialty {cardiology, infectious_disease, pediatrics, oncology, emergency}; difficulty {routine, intermediate, hard}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clinical_accuracy, safety, completeness, clarity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Legal analysis</w:t>
            </w:r>
            <w:r>
              <w:rPr>
                <w:rFonts w:ascii="Georgia" w:hAnsi="Georgia"/>
                <w:sz w:val="19"/>
              </w:rPr>
              <w:br/>
            </w:r>
            <w:r>
              <w:rPr>
                <w:rFonts w:ascii="Georgia" w:hAnsi="Georgia"/>
                <w:i/>
                <w:iCs/>
                <w:sz w:val="19"/>
              </w:rPr>
              <w:t xml:space="preserve">"a legal analysis question requiring identification of the relevant rule and correct application to the facts"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area_of_law {contracts, torts, criminal, constitutional, intellectual_property}; complexity {basic, intermediate, advanced}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legal_accuracy, reasoning_quality, completeness, clarity</w:t>
            </w:r>
          </w:p>
        </w:tc>
      </w:tr>
    </w:tbl>
    <w:p>
      <w:pPr>
        <w:pStyle w:val="BodyText"/>
        <w:spacing w:before="240"/>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6.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15"/>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11" Type="http://schemas.openxmlformats.org/officeDocument/2006/relationships/image" Target="media/rId111.png"/><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 Id="rId107"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 Id="rId107"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2026-06-03T11:13:16Z</dcterms:created>
  <dcterms:modified xsi:type="dcterms:W3CDTF">2026-06-03T11:13:16Z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