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Times New Roman" w:hAnsi="Times New Roman"/>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Times New Roman" w:hAnsi="Times New Roman"/>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19"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five-phase pipeline with teacher, student, and judge role bands</w:t>
            </w:r>
          </w:p>
        </w:tc>
      </w:tr>
    </w:tbl>
    <w:p>
      <w:pPr>
        <w:pStyle w:val="ImageCaption"/>
        <w:spacing w:before="80" w:after="120" w:line="240" w:lineRule="auto"/>
        <w:jc w:val="center"/>
        <w:keepNext w:val="0"/>
        <w:keepLines/>
        <w:widowControl w:val="1"/>
      </w:pPr>
      <w:r>
        <w:rPr>
          <w:b/>
          <w:bCs/>
        </w:rPr>
        <w:t xml:space="preserve">Figure 1.</w:t>
      </w:r>
      <w:r>
        <w:t xml:space="preserve"> </w:t>
      </w:r>
      <w:r>
        <w:t xml:space="preserve">The CoEval pipeline. A single pool of models rotates through three roles:</w:t>
      </w:r>
      <w:r>
        <w:t xml:space="preserve"> </w:t>
      </w:r>
      <w:r>
        <w:t xml:space="preserve">teachers map attributes, construct rubrics, and generate fresh benchmark items (Phases 1–3); students</w:t>
      </w:r>
      <w:r>
        <w:t xml:space="preserve"> </w:t>
      </w:r>
      <w:r>
        <w:t xml:space="preserve">produce candidate responses (Phase 4); and a cross-family judge ensemble scores them (Phase 5). The entire</w:t>
      </w:r>
      <w:r>
        <w:t xml:space="preserve"> </w:t>
      </w:r>
      <w:r>
        <w:t xml:space="preserve">run is specified in one declarative configuration.</w:t>
      </w:r>
    </w:p>
    <w:bookmarkStart w:id="15"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5"/>
    <w:bookmarkStart w:id="16"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6"/>
    <w:bookmarkStart w:id="17"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17"/>
    <w:bookmarkStart w:id="18"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18"/>
    <w:bookmarkEnd w:id="19"/>
    <w:bookmarkStart w:id="20"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160" w:after="60" w:line="240" w:lineRule="auto"/>
        <w:jc w:val="center"/>
        <w:keepNext/>
        <w:keepLines/>
        <w:widowControl w:val="1"/>
      </w:pPr>
      <w:r>
        <w:rPr>
          <w:b/>
          <w:bCs/>
        </w:rPr>
        <w:t xml:space="preserve">Table 1.</w:t>
      </w:r>
      <w:r>
        <w:t xml:space="preserve"> </w:t>
      </w:r>
      <w:r>
        <w:t xml:space="preserve">Experimental configurations. Judge panels differ by experiment because the</w:t>
      </w:r>
      <w:r>
        <w:t xml:space="preserve"> </w:t>
      </w:r>
      <w:r>
        <w:t xml:space="preserve">ground-truth anchor (5.1) uses a frontier cross-family panel while the bias and reliability studies (5.2–5.3)</w:t>
      </w:r>
      <w:r>
        <w:t xml:space="preserve"> </w:t>
      </w:r>
      <w:r>
        <w:t xml:space="preserve">use a deliberately heterogeneous panel that includes weak open-weight judges; the verticals (5.4, 5.8) reuse one</w:t>
      </w:r>
      <w:r>
        <w:t xml:space="preserve"> </w:t>
      </w:r>
      <w:r>
        <w:t xml:space="preserve">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200 memorized / 100 fresh</w:t>
            </w:r>
          </w:p>
        </w:tc>
      </w:tr>
    </w:tbl>
    <w:bookmarkEnd w:id="20"/>
    <w:bookmarkStart w:id="29"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1"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0.28</m:t>
        </m:r>
      </m:oMath>
      <w:r>
        <w:t xml:space="preserve">) and the full-rubric average (</w:t>
      </w:r>
      <m:oMath>
        <m:r>
          <m:t>ρ</m:t>
        </m:r>
        <m:r>
          <m:rPr>
            <m:sty m:val="p"/>
          </m:rPr>
          <m:t>=</m:t>
        </m:r>
        <m:r>
          <m:t>0.57</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160" w:after="60" w:line="240" w:lineRule="auto"/>
        <w:jc w:val="center"/>
        <w:keepNext/>
        <w:keepLines/>
        <w:widowControl w:val="1"/>
      </w:pPr>
      <w:r>
        <w:rPr>
          <w:b/>
          <w:bCs/>
        </w:rPr>
        <w:t xml:space="preserve">Table 2.</w:t>
      </w:r>
      <w:r>
        <w:t xml:space="preserve"> </w:t>
      </w:r>
      <w:r>
        <w:t xml:space="preserve">Spearman correlation of CoEval accuracy scores with ground-truth correctness on</w:t>
      </w:r>
      <w:r>
        <w:t xml:space="preserve"> </w:t>
      </w:r>
      <w:r>
        <w:t xml:space="preserve">exact-match QA (SciQ, ARC-Challenge;</w:t>
      </w:r>
      <w:r>
        <w:t xml:space="preserve"> </w:t>
      </w:r>
      <m:oMath>
        <m:r>
          <m:t>191</m:t>
        </m:r>
      </m:oMath>
      <w:r>
        <w:t xml:space="preserve"> </w:t>
      </w:r>
      <w:r>
        <w:t xml:space="preserve">datapoints,</w:t>
      </w:r>
      <w:r>
        <w:t xml:space="preserve"> </w:t>
      </w:r>
      <m:oMath>
        <m:r>
          <m:t>573</m:t>
        </m:r>
      </m:oMath>
      <w:r>
        <w:t xml:space="preserve"> </w:t>
      </w:r>
      <w:r>
        <w:t xml:space="preserve">responses; datapoint-clustered 95% bootstrap CI). The</w:t>
      </w:r>
      <w:r>
        <w:t xml:space="preserve"> </w:t>
      </w:r>
      <w:r>
        <w:t xml:space="preserve">frontier cross-family ensemble tracks ground truth at</w:t>
      </w:r>
      <w:r>
        <w:t xml:space="preserve"> </w:t>
      </w:r>
      <m:oMath>
        <m:r>
          <m:t>ρ</m:t>
        </m:r>
        <m:r>
          <m:rPr>
            <m:sty m:val="p"/>
          </m:rPr>
          <m:t>=</m:t>
        </m:r>
        <m:r>
          <m:t>0.86</m:t>
        </m:r>
      </m:oMath>
      <w:r>
        <w:t xml:space="preserve">. The three frontier judges agree on every item;</w:t>
      </w:r>
      <w:r>
        <w:t xml:space="preserve"> </w:t>
      </w:r>
      <w:r>
        <w:t xml:space="preserve">crucially, the weaker auxiliary judges they are contrasted against (Section 5.2) disagree on</w:t>
      </w:r>
      <w:r>
        <w:t xml:space="preserve"> </w:t>
      </w:r>
      <m:oMath>
        <m:r>
          <m:t>3</m:t>
        </m:r>
      </m:oMath>
      <w:r>
        <w:t xml:space="preserve">–</w:t>
      </w:r>
      <m:oMath>
        <m:r>
          <m:t>8</m:t>
        </m:r>
      </m:oMath>
      <w:r>
        <w:t xml:space="preserve"> </w:t>
      </w:r>
      <w:r>
        <w:t xml:space="preserve">items, confirming this is genuine independent convergence of capable judges on objective correctness, not redundancy</w:t>
      </w:r>
      <w:r>
        <w:t xml:space="preserve"> </w:t>
      </w:r>
      <w:r>
        <w:t xml:space="preserve">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+0.859</w:t>
            </w:r>
            <w:r>
              <w:rPr>
                <w:rFonts w:ascii="Times New Roman" w:hAnsi="Times New Roman"/>
                <w:sz w:val="20"/>
              </w:rPr>
              <w:t xml:space="preserve"> </w:t>
            </w:r>
            <w:r>
              <w:rPr>
                <w:rFonts w:ascii="Times New Roman" w:hAnsi="Times New Roman"/>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+0.859</w:t>
            </w:r>
          </w:p>
        </w:tc>
      </w:tr>
    </w:tbl>
    <w:p>
      <w:pPr>
        <w:pStyle w:val="BodyText"/>
        <w:spacing w:before="16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versus ground-truth accuracy per model; rankings identical</w:t>
            </w:r>
          </w:p>
        </w:tc>
      </w:tr>
    </w:tbl>
    <w:p>
      <w:pPr>
        <w:pStyle w:val="ImageCaption"/>
        <w:spacing w:before="80" w:after="120" w:line="240" w:lineRule="auto"/>
        <w:jc w:val="center"/>
        <w:keepNext w:val="0"/>
        <w:keepLines/>
        <w:widowControl w:val="1"/>
      </w:pPr>
      <w:r>
        <w:rPr>
          <w:b/>
          <w:bCs/>
        </w:rPr>
        <w:t xml:space="preserve">Figure 2.</w:t>
      </w:r>
      <w:r>
        <w:t xml:space="preserve"> </w:t>
      </w:r>
      <w:r>
        <w:t xml:space="preserve">CoEval recovers the true model ranking with no labels. For each student model</w:t>
      </w:r>
      <w:r>
        <w:t xml:space="preserve"> </w:t>
      </w:r>
      <w:r>
        <w:t xml:space="preserve">the CoEval frontier-ensemble accuracy score (green, datapoint-clustered 95% CI) and the held-out ground-truth</w:t>
      </w:r>
      <w:r>
        <w:t xml:space="preserve"> </w:t>
      </w:r>
      <w:r>
        <w:t xml:space="preserve">accuracy (blue) coincide within</w:t>
      </w:r>
      <w:r>
        <w:t xml:space="preserve"> </w:t>
      </w:r>
      <m:oMath>
        <m:r>
          <m:t>0.02</m:t>
        </m:r>
      </m:oMath>
      <w:r>
        <w:t xml:space="preserve">, and the order</w:t>
      </w:r>
      <w:r>
        <w:t xml:space="preserve"> </w:t>
      </w:r>
      <w:r>
        <w:rPr>
          <w:rStyle w:val="VerbatimChar"/>
        </w:rPr>
        <w:t xml:space="preserve">gpt-4o-mini</w:t>
      </w:r>
      <w:r>
        <w:t xml:space="preserve"> </w:t>
      </w:r>
      <w:r>
        <w:t xml:space="preserve">&gt;</w:t>
      </w:r>
      <w:r>
        <w:t xml:space="preserve"> </w:t>
      </w:r>
      <w:r>
        <w:rPr>
          <w:rStyle w:val="VerbatimChar"/>
        </w:rPr>
        <w:t xml:space="preserve">gpt-3.5-turbo</w:t>
      </w:r>
      <w:r>
        <w:t xml:space="preserve"> </w:t>
      </w:r>
      <w:r>
        <w:t xml:space="preserve">&gt;</w:t>
      </w:r>
      <w:r>
        <w:t xml:space="preserve"> </w:t>
      </w:r>
      <w:r>
        <w:rPr>
          <w:rStyle w:val="VerbatimChar"/>
        </w:rPr>
        <w:t xml:space="preserve">llama-3.2-3b</w:t>
      </w:r>
      <w:r>
        <w:t xml:space="preserve"> </w:t>
      </w:r>
      <w:r>
        <w:t xml:space="preserve">is reproduced exactly (cf. Table 3).</w:t>
      </w:r>
    </w:p>
    <w:p>
      <w:pPr>
        <w:pStyle w:val="TableCaption"/>
        <w:spacing w:before="160" w:after="60" w:line="240" w:lineRule="auto"/>
        <w:jc w:val="center"/>
        <w:keepNext/>
        <w:keepLines/>
        <w:widowControl w:val="1"/>
      </w:pPr>
      <w:r>
        <w:rPr>
          <w:b/>
          <w:bCs/>
        </w:rPr>
        <w:t xml:space="preserve">Table 3.</w:t>
      </w:r>
      <w:r>
        <w:t xml:space="preserve"> </w:t>
      </w:r>
      <w:r>
        <w:t xml:space="preserve">CoEval reproduces the ground-truth model ranking. Three student models ranked by</w:t>
      </w:r>
      <w:r>
        <w:t xml:space="preserve"> </w:t>
      </w:r>
      <w:r>
        <w:t xml:space="preserve">CoEval frontier-ensemble accuracy score (datapoint-clustered 95% CI) and by exact-match ground truth; the orderings</w:t>
      </w:r>
      <w:r>
        <w:t xml:space="preserve"> </w:t>
      </w:r>
      <w:r>
        <w:t xml:space="preserve">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0.832</w:t>
            </w:r>
          </w:p>
        </w:tc>
      </w:tr>
    </w:tbl>
    <w:bookmarkEnd w:id="21"/>
    <w:bookmarkStart w:id="22"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ICC(3,k) versus number of judges, peaking at the selected strong panel</w:t>
            </w:r>
          </w:p>
        </w:tc>
      </w:tr>
    </w:tbl>
    <w:p>
      <w:pPr>
        <w:pStyle w:val="ImageCaption"/>
        <w:spacing w:before="80" w:after="120" w:line="240" w:lineRule="auto"/>
        <w:jc w:val="center"/>
        <w:keepNext w:val="0"/>
        <w:keepLines/>
        <w:widowControl w:val="1"/>
      </w:pPr>
      <w:r>
        <w:rPr>
          <w:b/>
          <w:bCs/>
        </w:rPr>
        <w:t xml:space="preserve">Figure 3.</w:t>
      </w:r>
      <w:r>
        <w:t xml:space="preserve"> </w:t>
      </w:r>
      <w:r>
        <w:t xml:space="preserve">Composition over size. Average-measures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w:t>
      </w:r>
      <w:r>
        <w:t xml:space="preserve"> </w:t>
      </w:r>
      <w:r>
        <w:t xml:space="preserve">judges are added in descending agreement order. A selected strong panel reaches</w:t>
      </w:r>
      <w:r>
        <w:t xml:space="preserve"> </w:t>
      </w:r>
      <m:oMath>
        <m:r>
          <m:rPr>
            <m:sty m:val="p"/>
          </m:rPr>
          <m:t>I</m:t>
        </m:r>
        <m:r>
          <m:rPr>
            <m:sty m:val="p"/>
          </m:rPr>
          <m:t>C</m:t>
        </m:r>
        <m:r>
          <m:rPr>
            <m:sty m:val="p"/>
          </m:rPr>
          <m:t>C</m:t>
        </m:r>
        <m:r>
          <m:rPr>
            <m:sty m:val="p"/>
          </m:rPr>
          <m:t>=</m:t>
        </m:r>
        <m:r>
          <m:t>0.70</m:t>
        </m:r>
      </m:oMath>
      <w:r>
        <w:t xml:space="preserve">; indiscriminately</w:t>
      </w:r>
      <w:r>
        <w:t xml:space="preserve"> </w:t>
      </w:r>
      <w:r>
        <w:t xml:space="preserve">adding low-agreement judges lowers the mean inter-rater correlation faster than averaging compensates, so reliability</w:t>
      </w:r>
      <w:r>
        <w:t xml:space="preserve"> </w:t>
      </w:r>
      <w:r>
        <w:t xml:space="preserve">falls. CoEval's consensus selection retains the high-agreement judges, delivering the reliable configuration</w:t>
      </w:r>
      <w:r>
        <w:t xml:space="preserve"> </w:t>
      </w:r>
      <w:r>
        <w:t xml:space="preserve">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22"/>
    <w:bookmarkStart w:id="23"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160" w:after="60" w:line="240" w:lineRule="auto"/>
        <w:jc w:val="center"/>
        <w:keepNext/>
        <w:keepLines/>
        <w:widowControl w:val="1"/>
      </w:pPr>
      <w:r>
        <w:rPr>
          <w:b/>
          <w:bCs/>
        </w:rPr>
        <w:t xml:space="preserve">Table 4.</w:t>
      </w:r>
      <w:r>
        <w:t xml:space="preserve"> </w:t>
      </w:r>
      <w:r>
        <w:t xml:space="preserve">Verbosity bias (Pearson</w:t>
      </w:r>
      <w:r>
        <w:t xml:space="preserve"> </w:t>
      </w:r>
      <m:oMath>
        <m:r>
          <m:t>r</m:t>
        </m:r>
      </m:oMath>
      <w:r>
        <w:t xml:space="preserve"> </w:t>
      </w:r>
      <w:r>
        <w:t xml:space="preserve">between response length and score) for representative</w:t>
      </w:r>
      <w:r>
        <w:t xml:space="preserve"> </w:t>
      </w:r>
      <w:r>
        <w:t xml:space="preserve">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Length-bias</w:t>
            </w:r>
            <w:r>
              <w:rPr>
                <w:rFonts w:ascii="Times New Roman" w:hAnsi="Times New Roman"/>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Panel mean</w:t>
            </w:r>
            <w:r>
              <w:rPr>
                <w:rFonts w:ascii="Times New Roman" w:hAnsi="Times New Roman"/>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[−0.039, +0.057]</w:t>
            </w:r>
          </w:p>
        </w:tc>
      </w:tr>
    </w:tbl>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Forest plot of per-judge length-bias correlations with the ensemble near zero</w:t>
            </w:r>
          </w:p>
        </w:tc>
      </w:tr>
    </w:tbl>
    <w:p>
      <w:pPr>
        <w:pStyle w:val="ImageCaption"/>
        <w:spacing w:before="80" w:after="120" w:line="240" w:lineRule="auto"/>
        <w:jc w:val="center"/>
        <w:keepNext w:val="0"/>
        <w:keepLines/>
        <w:widowControl w:val="1"/>
      </w:pPr>
      <w:r>
        <w:rPr>
          <w:b/>
          <w:bCs/>
        </w:rPr>
        <w:t xml:space="preserve">Figure 4.</w:t>
      </w:r>
      <w:r>
        <w:t xml:space="preserve"> </w:t>
      </w:r>
      <w:r>
        <w:t xml:space="preserve">Verbosity bias by judge. Each judge's Pearson correlation between response</w:t>
      </w:r>
      <w:r>
        <w:t xml:space="preserve"> </w:t>
      </w:r>
      <w:r>
        <w:t xml:space="preserve">length and score (point) with its 95% bootstrap CI; the ensemble (green) sits at</w:t>
      </w:r>
      <w:r>
        <w:t xml:space="preserve"> </w:t>
      </w:r>
      <m:oMath>
        <m:r>
          <m:t>r</m:t>
        </m:r>
        <m:r>
          <m:rPr>
            <m:sty m:val="p"/>
          </m:rPr>
          <m:t>=</m:t>
        </m:r>
        <m:r>
          <m:rPr>
            <m:sty m:val="p"/>
          </m:rPr>
          <m:t>+</m:t>
        </m:r>
        <m:r>
          <m:t>0.010</m:t>
        </m:r>
      </m:oMath>
      <w:r>
        <w:t xml:space="preserve"> </w:t>
      </w:r>
      <w:r>
        <w:t xml:space="preserve">with a CI spanning zero.</w:t>
      </w:r>
      <w:r>
        <w:t xml:space="preserve"> </w:t>
      </w:r>
      <w:r>
        <w:t xml:space="preserve">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23"/>
    <w:bookmarkStart w:id="24"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0.015</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0.015</m:t>
        </m:r>
      </m:oMath>
      <w:r>
        <w:t xml:space="preserve">): the cross-family design neutralizes self-preference by construction.</w:t>
      </w:r>
    </w:p>
    <w:bookmarkEnd w:id="24"/>
    <w:bookmarkStart w:id="25"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25"/>
    <w:bookmarkStart w:id="26"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26"/>
    <w:bookmarkStart w:id="27"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160" w:after="60" w:line="240" w:lineRule="auto"/>
        <w:jc w:val="center"/>
        <w:keepNext/>
        <w:keepLines/>
        <w:widowControl w:val="1"/>
      </w:pPr>
      <w:r>
        <w:rPr>
          <w:b/>
          <w:bCs/>
        </w:rPr>
        <w:t xml:space="preserve">Table 5.</w:t>
      </w:r>
      <w:r>
        <w:t xml:space="preserve"> </w:t>
      </w:r>
      <w:r>
        <w:t xml:space="preserve">CoEval ranks three candidate models on three custom, contamination-free verticals</w:t>
      </w:r>
      <w:r>
        <w:t xml:space="preserve"> </w:t>
      </w:r>
      <w:r>
        <w:t xml:space="preserve">generated from a task description with no labeled data. Scores are the cross-family ensemble mean (</w:t>
      </w:r>
      <m:oMath>
        <m:r>
          <m:rPr>
            <m:sty m:val="p"/>
          </m:rPr>
          <m:t>[</m:t>
        </m:r>
        <m:r>
          <m:t>0</m:t>
        </m:r>
        <m:r>
          <m:rPr>
            <m:sty m:val="p"/>
          </m:rPr>
          <m:t>,</m:t>
        </m:r>
        <m:r>
          <m:t>1</m:t>
        </m:r>
        <m:r>
          <m:rPr>
            <m:sty m:val="p"/>
          </m:rPr>
          <m:t>]</m:t>
        </m:r>
      </m:oMath>
      <w:r>
        <w:t xml:space="preserve">) with 95%</w:t>
      </w:r>
      <w:r>
        <w:t xml:space="preserve"> </w:t>
      </w:r>
      <w:r>
        <w:t xml:space="preserve">bootstrap CI over</w:t>
      </w:r>
      <w:r>
        <w:t xml:space="preserve"> </w:t>
      </w:r>
      <m:oMath>
        <m:r>
          <m:t>40</m:t>
        </m:r>
      </m:oMath>
      <w:r>
        <w:t xml:space="preserve"> </w:t>
      </w:r>
      <w:r>
        <w:t xml:space="preserve">generated items.</w:t>
      </w:r>
      <w:r>
        <w:t xml:space="preserve"> </w:t>
      </w:r>
      <w:r>
        <w:rPr>
          <w:rStyle w:val="VerbatimChar"/>
        </w:rPr>
        <w:t xml:space="preserve">llama-3.2-3b</w:t>
      </w:r>
      <w:r>
        <w:t xml:space="preserve"> </w:t>
      </w:r>
      <w:r>
        <w:t xml:space="preserve">ranks weakest in every vertical; the three judges</w:t>
      </w:r>
      <w:r>
        <w:t xml:space="preserve"> </w:t>
      </w:r>
      <w:r>
        <w:t xml:space="preserve">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Drug–drug interaction reasoning</w:t>
            </w:r>
            <w:r>
              <w:rPr>
                <w:rFonts w:ascii="Times New Roman" w:hAnsi="Times New Roman"/>
                <w:sz w:val="20"/>
              </w:rPr>
              <w:t xml:space="preserve"> </w:t>
            </w:r>
            <w:r>
              <w:rPr>
                <w:rFonts w:ascii="Times New Roman" w:hAnsi="Times New Roman"/>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0.709 [0.677, 0.744]</w:t>
            </w:r>
          </w:p>
        </w:tc>
      </w:tr>
    </w:tbl>
    <w:bookmarkEnd w:id="27"/>
    <w:bookmarkStart w:id="28"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160" w:after="60" w:line="240" w:lineRule="auto"/>
        <w:jc w:val="center"/>
        <w:keepNext/>
        <w:keepLines/>
        <w:widowControl w:val="1"/>
      </w:pPr>
      <w:r>
        <w:rPr>
          <w:b/>
          <w:bCs/>
        </w:rPr>
        <w:t xml:space="preserve">Table 6.</w:t>
      </w:r>
      <w:r>
        <w:t xml:space="preserve"> </w:t>
      </w:r>
      <w:r>
        <w:t xml:space="preserve">The same six candidate models ranked by the same cross-family panel on four</w:t>
      </w:r>
      <w:r>
        <w:t xml:space="preserve"> </w:t>
      </w:r>
      <w:r>
        <w:t xml:space="preserve">CoEval-generated domains diverge: each cell is the model's rank (</w:t>
      </w:r>
      <m:oMath>
        <m:r>
          <m:t>1</m:t>
        </m:r>
      </m:oMath>
      <w:r>
        <w:t xml:space="preserve"> </w:t>
      </w:r>
      <w:r>
        <w:t xml:space="preserve">= best) in that domain, rows ordered by the</w:t>
      </w:r>
      <w:r>
        <w:t xml:space="preserve"> </w:t>
      </w:r>
      <w:r>
        <w:t xml:space="preserve">generic pooled leaderboard. Three distinct models win the four domains (highlighted), and the pooled-best model</w:t>
      </w:r>
      <w:r>
        <w:t xml:space="preserve"> </w:t>
      </w:r>
      <w:r>
        <w:t xml:space="preserve">(</w:t>
      </w:r>
      <w:r>
        <w:rPr>
          <w:rStyle w:val="VerbatimChar"/>
        </w:rPr>
        <w:t xml:space="preserve">gemini-flash</w:t>
      </w:r>
      <w:r>
        <w:t xml:space="preserve">) is domain-best in only one.</w:t>
      </w:r>
      <w:r>
        <w:t xml:space="preserve"> </w:t>
      </w:r>
      <w:r>
        <w:rPr>
          <w:rStyle w:val="VerbatimChar"/>
        </w:rPr>
        <w:t xml:space="preserve">gpt-4o-mini</w:t>
      </w:r>
      <w:r>
        <w:t xml:space="preserve"> </w:t>
      </w:r>
      <w:r>
        <w:t xml:space="preserve">swings from</w:t>
      </w:r>
      <w:r>
        <w:t xml:space="preserve"> </w:t>
      </w:r>
      <m:oMath>
        <m:r>
          <m:t>1</m:t>
        </m:r>
      </m:oMath>
      <w:r>
        <w:t xml:space="preserve">st to</w:t>
      </w:r>
      <w:r>
        <w:t xml:space="preserve"> </w:t>
      </w:r>
      <m:oMath>
        <m:r>
          <m:t>5</m:t>
        </m:r>
      </m:oMath>
      <w:r>
        <w:t xml:space="preserve">th and</w:t>
      </w:r>
      <w:r>
        <w:t xml:space="preserve"> </w:t>
      </w:r>
      <w:r>
        <w:rPr>
          <w:rStyle w:val="VerbatimChar"/>
        </w:rPr>
        <w:t xml:space="preserve">claude-3.5-haiku</w:t>
      </w:r>
      <w:r>
        <w:t xml:space="preserve"> </w:t>
      </w:r>
      <w:r>
        <w:t xml:space="preserve">from</w:t>
      </w:r>
      <w:r>
        <w:t xml:space="preserve"> </w:t>
      </w:r>
      <m:oMath>
        <m:r>
          <m:t>5</m:t>
        </m:r>
      </m:oMath>
      <w:r>
        <w:t xml:space="preserve">th to</w:t>
      </w:r>
      <w:r>
        <w:t xml:space="preserve"> </w:t>
      </w:r>
      <m:oMath>
        <m:r>
          <m:t>1</m:t>
        </m:r>
      </m:oMath>
      <w:r>
        <w:t xml:space="preserve">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bookmarkEnd w:id="28"/>
    <w:bookmarkEnd w:id="29"/>
    <w:bookmarkStart w:id="30"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30"/>
    <w:bookmarkStart w:id="31"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31"/>
    <w:bookmarkStart w:id="98" w:name="references"/>
    <w:p>
      <w:pPr>
        <w:pStyle w:val="ReferencesHeading"/>
        <w:jc w:val="left"/>
        <w:keepNext/>
        <w:keepLines/>
        <w:widowControl w:val="1"/>
      </w:pPr>
      <w:r>
        <w:t xml:space="preserve">References</w:t>
      </w:r>
    </w:p>
    <w:p>
      <w:pPr>
        <w:pStyle w:val="ReferenceEntry"/>
        <w:numPr>
          <w:ilvl w:val="0"/>
          <w:numId w:val="1002"/>
        </w:numPr>
        <w:jc w:val="left"/>
        <w:keepNext w:val="0"/>
        <w:keepLines w:val="0"/>
        <w:widowControl w:val="1"/>
      </w:pPr>
      <w:bookmarkStart w:id="33"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32">
        <w:r>
          <w:rPr>
            <w:rStyle w:val="Hyperlink"/>
          </w:rPr>
          <w:t xml:space="preserve">arxiv.org/abs/2306.05685</w:t>
        </w:r>
      </w:hyperlink>
      <w:bookmarkEnd w:id="33"/>
    </w:p>
    <w:p>
      <w:pPr>
        <w:pStyle w:val="ReferenceEntry"/>
        <w:numPr>
          <w:ilvl w:val="0"/>
          <w:numId w:val="1002"/>
        </w:numPr>
        <w:jc w:val="left"/>
        <w:keepNext w:val="0"/>
        <w:keepLines w:val="0"/>
        <w:widowControl w:val="1"/>
      </w:pPr>
      <w:bookmarkStart w:id="35"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34">
        <w:r>
          <w:rPr>
            <w:rStyle w:val="Hyperlink"/>
          </w:rPr>
          <w:t xml:space="preserve">arxiv.org/abs/2303.16634</w:t>
        </w:r>
      </w:hyperlink>
      <w:bookmarkEnd w:id="35"/>
    </w:p>
    <w:p>
      <w:pPr>
        <w:pStyle w:val="ReferenceEntry"/>
        <w:numPr>
          <w:ilvl w:val="0"/>
          <w:numId w:val="1002"/>
        </w:numPr>
        <w:jc w:val="left"/>
        <w:keepNext w:val="0"/>
        <w:keepLines w:val="0"/>
        <w:widowControl w:val="1"/>
      </w:pPr>
      <w:bookmarkStart w:id="37"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36">
        <w:r>
          <w:rPr>
            <w:rStyle w:val="Hyperlink"/>
          </w:rPr>
          <w:t xml:space="preserve">arxiv.org/abs/2405.01535</w:t>
        </w:r>
      </w:hyperlink>
      <w:bookmarkEnd w:id="37"/>
    </w:p>
    <w:p>
      <w:pPr>
        <w:pStyle w:val="ReferenceEntry"/>
        <w:numPr>
          <w:ilvl w:val="0"/>
          <w:numId w:val="1002"/>
        </w:numPr>
        <w:jc w:val="left"/>
        <w:keepNext w:val="0"/>
        <w:keepLines w:val="0"/>
        <w:widowControl w:val="1"/>
      </w:pPr>
      <w:bookmarkStart w:id="39"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38">
        <w:r>
          <w:rPr>
            <w:rStyle w:val="Hyperlink"/>
          </w:rPr>
          <w:t xml:space="preserve">arxiv.org/abs/2407.10817</w:t>
        </w:r>
      </w:hyperlink>
      <w:bookmarkEnd w:id="39"/>
    </w:p>
    <w:p>
      <w:pPr>
        <w:pStyle w:val="ReferenceEntry"/>
        <w:numPr>
          <w:ilvl w:val="0"/>
          <w:numId w:val="1002"/>
        </w:numPr>
        <w:jc w:val="left"/>
        <w:keepNext w:val="0"/>
        <w:keepLines w:val="0"/>
        <w:widowControl w:val="1"/>
      </w:pPr>
      <w:bookmarkStart w:id="41"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40">
        <w:r>
          <w:rPr>
            <w:rStyle w:val="Hyperlink"/>
          </w:rPr>
          <w:t xml:space="preserve">arxiv.org/abs/2404.18796</w:t>
        </w:r>
      </w:hyperlink>
      <w:bookmarkEnd w:id="41"/>
    </w:p>
    <w:p>
      <w:pPr>
        <w:pStyle w:val="ReferenceEntry"/>
        <w:numPr>
          <w:ilvl w:val="0"/>
          <w:numId w:val="1002"/>
        </w:numPr>
        <w:jc w:val="left"/>
        <w:keepNext w:val="0"/>
        <w:keepLines w:val="0"/>
        <w:widowControl w:val="1"/>
      </w:pPr>
      <w:bookmarkStart w:id="43"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42">
        <w:r>
          <w:rPr>
            <w:rStyle w:val="Hyperlink"/>
          </w:rPr>
          <w:t xml:space="preserve">arxiv.org/abs/2410.12784</w:t>
        </w:r>
      </w:hyperlink>
      <w:bookmarkEnd w:id="43"/>
    </w:p>
    <w:p>
      <w:pPr>
        <w:pStyle w:val="ReferenceEntry"/>
        <w:numPr>
          <w:ilvl w:val="0"/>
          <w:numId w:val="1002"/>
        </w:numPr>
        <w:jc w:val="left"/>
        <w:keepNext w:val="0"/>
        <w:keepLines w:val="0"/>
        <w:widowControl w:val="1"/>
      </w:pPr>
      <w:bookmarkStart w:id="45"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44">
        <w:r>
          <w:rPr>
            <w:rStyle w:val="Hyperlink"/>
          </w:rPr>
          <w:t xml:space="preserve">arxiv.org/abs/2406.05761</w:t>
        </w:r>
      </w:hyperlink>
      <w:bookmarkEnd w:id="45"/>
    </w:p>
    <w:p>
      <w:pPr>
        <w:pStyle w:val="ReferenceEntry"/>
        <w:numPr>
          <w:ilvl w:val="0"/>
          <w:numId w:val="1002"/>
        </w:numPr>
        <w:jc w:val="left"/>
        <w:keepNext w:val="0"/>
        <w:keepLines w:val="0"/>
        <w:widowControl w:val="1"/>
      </w:pPr>
      <w:bookmarkStart w:id="47"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46">
        <w:r>
          <w:rPr>
            <w:rStyle w:val="Hyperlink"/>
          </w:rPr>
          <w:t xml:space="preserve">arxiv.org/abs/2404.04475</w:t>
        </w:r>
      </w:hyperlink>
      <w:bookmarkEnd w:id="47"/>
    </w:p>
    <w:p>
      <w:pPr>
        <w:pStyle w:val="ReferenceEntry"/>
        <w:numPr>
          <w:ilvl w:val="0"/>
          <w:numId w:val="1002"/>
        </w:numPr>
        <w:jc w:val="left"/>
        <w:keepNext w:val="0"/>
        <w:keepLines w:val="0"/>
        <w:widowControl w:val="1"/>
      </w:pPr>
      <w:bookmarkStart w:id="49" w:name="r9"/>
      <w:r>
        <w:t xml:space="preserve">Li, X. L., Kazemi, M., et al. (2024).</w:t>
      </w:r>
      <w:r>
        <w:t xml:space="preserve"> </w:t>
      </w:r>
      <w:r>
        <w:rPr>
          <w:i/>
          <w:iCs/>
        </w:rPr>
        <w:t xml:space="preserve">AutoBencher: Towards Declarative Benchmark Construction.</w:t>
      </w:r>
      <w:r>
        <w:t xml:space="preserve"> </w:t>
      </w:r>
      <w:hyperlink r:id="rId48">
        <w:r>
          <w:rPr>
            <w:rStyle w:val="Hyperlink"/>
          </w:rPr>
          <w:t xml:space="preserve">arxiv.org/abs/2407.08351</w:t>
        </w:r>
      </w:hyperlink>
      <w:bookmarkEnd w:id="49"/>
    </w:p>
    <w:p>
      <w:pPr>
        <w:pStyle w:val="ReferenceEntry"/>
        <w:numPr>
          <w:ilvl w:val="0"/>
          <w:numId w:val="1002"/>
        </w:numPr>
        <w:jc w:val="left"/>
        <w:keepNext w:val="0"/>
        <w:keepLines w:val="0"/>
        <w:widowControl w:val="1"/>
      </w:pPr>
      <w:bookmarkStart w:id="51"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50">
        <w:r>
          <w:rPr>
            <w:rStyle w:val="Hyperlink"/>
          </w:rPr>
          <w:t xml:space="preserve">arxiv.org/abs/2410.22584</w:t>
        </w:r>
      </w:hyperlink>
      <w:bookmarkEnd w:id="51"/>
    </w:p>
    <w:p>
      <w:pPr>
        <w:pStyle w:val="ReferenceEntry"/>
        <w:numPr>
          <w:ilvl w:val="0"/>
          <w:numId w:val="1002"/>
        </w:numPr>
        <w:jc w:val="left"/>
        <w:keepNext w:val="0"/>
        <w:keepLines w:val="0"/>
        <w:widowControl w:val="1"/>
      </w:pPr>
      <w:bookmarkStart w:id="53" w:name="r11"/>
      <w:r>
        <w:t xml:space="preserve">Shashidhar, S., et al. (2025).</w:t>
      </w:r>
      <w:r>
        <w:t xml:space="preserve"> </w:t>
      </w:r>
      <w:r>
        <w:rPr>
          <w:i/>
          <w:iCs/>
        </w:rPr>
        <w:t xml:space="preserve">YourBench: Easy Custom Evaluation Sets for Everyone.</w:t>
      </w:r>
      <w:r>
        <w:t xml:space="preserve"> </w:t>
      </w:r>
      <w:hyperlink r:id="rId52">
        <w:r>
          <w:rPr>
            <w:rStyle w:val="Hyperlink"/>
          </w:rPr>
          <w:t xml:space="preserve">arxiv.org/abs/2504.01833</w:t>
        </w:r>
      </w:hyperlink>
      <w:bookmarkEnd w:id="53"/>
    </w:p>
    <w:p>
      <w:pPr>
        <w:pStyle w:val="ReferenceEntry"/>
        <w:numPr>
          <w:ilvl w:val="0"/>
          <w:numId w:val="1002"/>
        </w:numPr>
        <w:jc w:val="left"/>
        <w:keepNext w:val="0"/>
        <w:keepLines w:val="0"/>
        <w:widowControl w:val="1"/>
      </w:pPr>
      <w:bookmarkStart w:id="55"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54">
        <w:r>
          <w:rPr>
            <w:rStyle w:val="Hyperlink"/>
          </w:rPr>
          <w:t xml:space="preserve">arxiv.org/abs/2405.00332</w:t>
        </w:r>
      </w:hyperlink>
      <w:bookmarkEnd w:id="55"/>
    </w:p>
    <w:p>
      <w:pPr>
        <w:pStyle w:val="ReferenceEntry"/>
        <w:numPr>
          <w:ilvl w:val="0"/>
          <w:numId w:val="1002"/>
        </w:numPr>
        <w:jc w:val="left"/>
        <w:keepNext w:val="0"/>
        <w:keepLines w:val="0"/>
        <w:widowControl w:val="1"/>
      </w:pPr>
      <w:bookmarkStart w:id="57" w:name="r13"/>
      <w:r>
        <w:t xml:space="preserve">Xu, C., et al. (2025).</w:t>
      </w:r>
      <w:r>
        <w:t xml:space="preserve"> </w:t>
      </w:r>
      <w:r>
        <w:rPr>
          <w:i/>
          <w:iCs/>
        </w:rPr>
        <w:t xml:space="preserve">Benchmark Data Contamination of Large Language Models: A Survey.</w:t>
      </w:r>
      <w:r>
        <w:t xml:space="preserve"> </w:t>
      </w:r>
      <w:hyperlink r:id="rId56">
        <w:r>
          <w:rPr>
            <w:rStyle w:val="Hyperlink"/>
          </w:rPr>
          <w:t xml:space="preserve">arxiv.org/abs/2502.14425</w:t>
        </w:r>
      </w:hyperlink>
      <w:bookmarkEnd w:id="57"/>
    </w:p>
    <w:p>
      <w:pPr>
        <w:pStyle w:val="ReferenceEntry"/>
        <w:numPr>
          <w:ilvl w:val="0"/>
          <w:numId w:val="1002"/>
        </w:numPr>
        <w:jc w:val="left"/>
        <w:keepNext w:val="0"/>
        <w:keepLines w:val="0"/>
        <w:widowControl w:val="1"/>
      </w:pPr>
      <w:bookmarkStart w:id="59"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58">
        <w:r>
          <w:rPr>
            <w:rStyle w:val="Hyperlink"/>
          </w:rPr>
          <w:t xml:space="preserve">arxiv.org/abs/2104.14337</w:t>
        </w:r>
      </w:hyperlink>
      <w:bookmarkEnd w:id="59"/>
    </w:p>
    <w:p>
      <w:pPr>
        <w:pStyle w:val="ReferenceEntry"/>
        <w:numPr>
          <w:ilvl w:val="0"/>
          <w:numId w:val="1002"/>
        </w:numPr>
        <w:jc w:val="left"/>
        <w:keepNext w:val="0"/>
        <w:keepLines w:val="0"/>
        <w:widowControl w:val="1"/>
      </w:pPr>
      <w:bookmarkStart w:id="61"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60">
        <w:r>
          <w:rPr>
            <w:rStyle w:val="Hyperlink"/>
          </w:rPr>
          <w:t xml:space="preserve">arxiv.org/abs/2502.01534</w:t>
        </w:r>
      </w:hyperlink>
      <w:bookmarkEnd w:id="61"/>
    </w:p>
    <w:p>
      <w:pPr>
        <w:pStyle w:val="ReferenceEntry"/>
        <w:numPr>
          <w:ilvl w:val="0"/>
          <w:numId w:val="1002"/>
        </w:numPr>
        <w:jc w:val="left"/>
        <w:keepNext w:val="0"/>
        <w:keepLines w:val="0"/>
        <w:widowControl w:val="1"/>
      </w:pPr>
      <w:bookmarkStart w:id="63"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62">
        <w:r>
          <w:rPr>
            <w:rStyle w:val="Hyperlink"/>
          </w:rPr>
          <w:t xml:space="preserve">arxiv.org/abs/2508.06709</w:t>
        </w:r>
      </w:hyperlink>
      <w:bookmarkEnd w:id="63"/>
    </w:p>
    <w:p>
      <w:pPr>
        <w:pStyle w:val="ReferenceEntry"/>
        <w:numPr>
          <w:ilvl w:val="0"/>
          <w:numId w:val="1002"/>
        </w:numPr>
        <w:jc w:val="left"/>
        <w:keepNext w:val="0"/>
        <w:keepLines w:val="0"/>
        <w:widowControl w:val="1"/>
      </w:pPr>
      <w:bookmarkStart w:id="65"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64">
        <w:r>
          <w:rPr>
            <w:rStyle w:val="Hyperlink"/>
          </w:rPr>
          <w:t xml:space="preserve">arxiv.org/abs/2410.02736</w:t>
        </w:r>
      </w:hyperlink>
      <w:bookmarkEnd w:id="65"/>
    </w:p>
    <w:p>
      <w:pPr>
        <w:pStyle w:val="ReferenceEntry"/>
        <w:numPr>
          <w:ilvl w:val="0"/>
          <w:numId w:val="1002"/>
        </w:numPr>
        <w:jc w:val="left"/>
        <w:keepNext w:val="0"/>
        <w:keepLines w:val="0"/>
        <w:widowControl w:val="1"/>
      </w:pPr>
      <w:bookmarkStart w:id="67" w:name="r18"/>
      <w:r>
        <w:t xml:space="preserve">Wataoka, K., Takahashi, T., Ri, R. (2024).</w:t>
      </w:r>
      <w:r>
        <w:t xml:space="preserve"> </w:t>
      </w:r>
      <w:r>
        <w:rPr>
          <w:i/>
          <w:iCs/>
        </w:rPr>
        <w:t xml:space="preserve">Self-Preference Bias in LLM-as-a-Judge.</w:t>
      </w:r>
      <w:r>
        <w:t xml:space="preserve"> </w:t>
      </w:r>
      <w:hyperlink r:id="rId66">
        <w:r>
          <w:rPr>
            <w:rStyle w:val="Hyperlink"/>
          </w:rPr>
          <w:t xml:space="preserve">arxiv.org/abs/2410.21819</w:t>
        </w:r>
      </w:hyperlink>
      <w:bookmarkEnd w:id="67"/>
    </w:p>
    <w:p>
      <w:pPr>
        <w:pStyle w:val="ReferenceEntry"/>
        <w:numPr>
          <w:ilvl w:val="0"/>
          <w:numId w:val="1002"/>
        </w:numPr>
        <w:jc w:val="left"/>
        <w:keepNext w:val="0"/>
        <w:keepLines w:val="0"/>
        <w:widowControl w:val="1"/>
      </w:pPr>
      <w:bookmarkStart w:id="69" w:name="r19"/>
      <w:r>
        <w:t xml:space="preserve">Gu, J., Jiang, X., Shi, Z., et al. (2024).</w:t>
      </w:r>
      <w:r>
        <w:t xml:space="preserve"> </w:t>
      </w:r>
      <w:r>
        <w:rPr>
          <w:i/>
          <w:iCs/>
        </w:rPr>
        <w:t xml:space="preserve">A Survey on LLM-as-a-Judge.</w:t>
      </w:r>
      <w:r>
        <w:t xml:space="preserve"> </w:t>
      </w:r>
      <w:hyperlink r:id="rId68">
        <w:r>
          <w:rPr>
            <w:rStyle w:val="Hyperlink"/>
          </w:rPr>
          <w:t xml:space="preserve">arxiv.org/abs/2411.15594</w:t>
        </w:r>
      </w:hyperlink>
      <w:bookmarkEnd w:id="69"/>
    </w:p>
    <w:p>
      <w:pPr>
        <w:pStyle w:val="ReferenceEntry"/>
        <w:numPr>
          <w:ilvl w:val="0"/>
          <w:numId w:val="1002"/>
        </w:numPr>
        <w:jc w:val="left"/>
        <w:keepNext w:val="0"/>
        <w:keepLines w:val="0"/>
        <w:widowControl w:val="1"/>
      </w:pPr>
      <w:bookmarkStart w:id="71"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70">
        <w:r>
          <w:rPr>
            <w:rStyle w:val="Hyperlink"/>
          </w:rPr>
          <w:t xml:space="preserve">arxiv.org/abs/2411.16594</w:t>
        </w:r>
      </w:hyperlink>
      <w:bookmarkEnd w:id="71"/>
    </w:p>
    <w:p>
      <w:pPr>
        <w:pStyle w:val="ReferenceEntry"/>
        <w:numPr>
          <w:ilvl w:val="0"/>
          <w:numId w:val="1002"/>
        </w:numPr>
        <w:jc w:val="left"/>
        <w:keepNext w:val="0"/>
        <w:keepLines w:val="0"/>
        <w:widowControl w:val="1"/>
      </w:pPr>
      <w:bookmarkStart w:id="73"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72">
        <w:r>
          <w:rPr>
            <w:rStyle w:val="Hyperlink"/>
          </w:rPr>
          <w:t xml:space="preserve">arxiv.org/abs/2308.07201</w:t>
        </w:r>
      </w:hyperlink>
      <w:bookmarkEnd w:id="73"/>
    </w:p>
    <w:p>
      <w:pPr>
        <w:pStyle w:val="ReferenceEntry"/>
        <w:numPr>
          <w:ilvl w:val="0"/>
          <w:numId w:val="1002"/>
        </w:numPr>
        <w:jc w:val="left"/>
        <w:keepNext w:val="0"/>
        <w:keepLines w:val="0"/>
        <w:widowControl w:val="1"/>
      </w:pPr>
      <w:bookmarkStart w:id="75"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74">
        <w:r>
          <w:rPr>
            <w:rStyle w:val="Hyperlink"/>
          </w:rPr>
          <w:t xml:space="preserve">arxiv.org/abs/2406.19314</w:t>
        </w:r>
      </w:hyperlink>
      <w:bookmarkEnd w:id="75"/>
    </w:p>
    <w:p>
      <w:pPr>
        <w:pStyle w:val="ReferenceEntry"/>
        <w:numPr>
          <w:ilvl w:val="0"/>
          <w:numId w:val="1002"/>
        </w:numPr>
        <w:jc w:val="left"/>
        <w:keepNext w:val="0"/>
        <w:keepLines w:val="0"/>
        <w:widowControl w:val="1"/>
      </w:pPr>
      <w:bookmarkStart w:id="77"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76">
        <w:r>
          <w:rPr>
            <w:rStyle w:val="Hyperlink"/>
          </w:rPr>
          <w:t xml:space="preserve">arxiv.org/abs/2403.07974</w:t>
        </w:r>
      </w:hyperlink>
      <w:bookmarkEnd w:id="77"/>
    </w:p>
    <w:p>
      <w:pPr>
        <w:pStyle w:val="ReferenceEntry"/>
        <w:numPr>
          <w:ilvl w:val="0"/>
          <w:numId w:val="1002"/>
        </w:numPr>
        <w:jc w:val="left"/>
        <w:keepNext w:val="0"/>
        <w:keepLines w:val="0"/>
        <w:widowControl w:val="1"/>
      </w:pPr>
      <w:bookmarkStart w:id="79"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78">
        <w:r>
          <w:rPr>
            <w:rStyle w:val="Hyperlink"/>
          </w:rPr>
          <w:t xml:space="preserve">arxiv.org/abs/2504.03846</w:t>
        </w:r>
      </w:hyperlink>
      <w:bookmarkEnd w:id="79"/>
    </w:p>
    <w:p>
      <w:pPr>
        <w:pStyle w:val="ReferenceEntry"/>
        <w:numPr>
          <w:ilvl w:val="0"/>
          <w:numId w:val="1002"/>
        </w:numPr>
        <w:jc w:val="left"/>
        <w:keepNext w:val="0"/>
        <w:keepLines w:val="0"/>
        <w:widowControl w:val="1"/>
      </w:pPr>
      <w:bookmarkStart w:id="81"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80">
        <w:r>
          <w:rPr>
            <w:rStyle w:val="Hyperlink"/>
          </w:rPr>
          <w:t xml:space="preserve">arxiv.org/abs/2408.08808</w:t>
        </w:r>
      </w:hyperlink>
      <w:bookmarkEnd w:id="81"/>
    </w:p>
    <w:p>
      <w:pPr>
        <w:pStyle w:val="ReferenceEntry"/>
        <w:numPr>
          <w:ilvl w:val="0"/>
          <w:numId w:val="1002"/>
        </w:numPr>
        <w:jc w:val="left"/>
        <w:keepNext w:val="0"/>
        <w:keepLines w:val="0"/>
        <w:widowControl w:val="1"/>
      </w:pPr>
      <w:bookmarkStart w:id="83" w:name="r26"/>
      <w:r>
        <w:t xml:space="preserve">Li, Y., et al. (2025).</w:t>
      </w:r>
      <w:r>
        <w:t xml:space="preserve"> </w:t>
      </w:r>
      <w:r>
        <w:rPr>
          <w:i/>
          <w:iCs/>
        </w:rPr>
        <w:t xml:space="preserve">Leveraging LLMs as Meta-Judges: A Multi-Agent Framework.</w:t>
      </w:r>
      <w:r>
        <w:t xml:space="preserve"> </w:t>
      </w:r>
      <w:hyperlink r:id="rId82">
        <w:r>
          <w:rPr>
            <w:rStyle w:val="Hyperlink"/>
          </w:rPr>
          <w:t xml:space="preserve">arxiv.org/abs/2504.17087</w:t>
        </w:r>
      </w:hyperlink>
      <w:bookmarkEnd w:id="83"/>
    </w:p>
    <w:p>
      <w:pPr>
        <w:pStyle w:val="ReferenceEntry"/>
        <w:numPr>
          <w:ilvl w:val="0"/>
          <w:numId w:val="1002"/>
        </w:numPr>
        <w:jc w:val="left"/>
        <w:keepNext w:val="0"/>
        <w:keepLines w:val="0"/>
        <w:widowControl w:val="1"/>
      </w:pPr>
      <w:bookmarkStart w:id="85"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84">
        <w:r>
          <w:rPr>
            <w:rStyle w:val="Hyperlink"/>
          </w:rPr>
          <w:t xml:space="preserve">arxiv.org/abs/2602.16610</w:t>
        </w:r>
      </w:hyperlink>
      <w:bookmarkEnd w:id="85"/>
    </w:p>
    <w:p>
      <w:pPr>
        <w:pStyle w:val="ReferenceEntry"/>
        <w:numPr>
          <w:ilvl w:val="0"/>
          <w:numId w:val="1002"/>
        </w:numPr>
        <w:jc w:val="left"/>
        <w:keepNext w:val="0"/>
        <w:keepLines w:val="0"/>
        <w:widowControl w:val="1"/>
      </w:pPr>
      <w:bookmarkStart w:id="87"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86">
        <w:r>
          <w:rPr>
            <w:rStyle w:val="Hyperlink"/>
          </w:rPr>
          <w:t xml:space="preserve">arxiv.org/abs/2603.00039</w:t>
        </w:r>
      </w:hyperlink>
      <w:bookmarkEnd w:id="87"/>
    </w:p>
    <w:p>
      <w:pPr>
        <w:pStyle w:val="ReferenceEntry"/>
        <w:numPr>
          <w:ilvl w:val="0"/>
          <w:numId w:val="1002"/>
        </w:numPr>
        <w:jc w:val="left"/>
        <w:keepNext w:val="0"/>
        <w:keepLines w:val="0"/>
        <w:widowControl w:val="1"/>
      </w:pPr>
      <w:bookmarkStart w:id="89"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88">
        <w:r>
          <w:rPr>
            <w:rStyle w:val="Hyperlink"/>
          </w:rPr>
          <w:t xml:space="preserve">arxiv.org/abs/2601.21817</w:t>
        </w:r>
      </w:hyperlink>
      <w:bookmarkEnd w:id="89"/>
    </w:p>
    <w:p>
      <w:pPr>
        <w:pStyle w:val="ReferenceEntry"/>
        <w:numPr>
          <w:ilvl w:val="0"/>
          <w:numId w:val="1002"/>
        </w:numPr>
        <w:jc w:val="left"/>
        <w:keepNext w:val="0"/>
        <w:keepLines w:val="0"/>
        <w:widowControl w:val="1"/>
      </w:pPr>
      <w:bookmarkStart w:id="91"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90">
        <w:r>
          <w:rPr>
            <w:rStyle w:val="Hyperlink"/>
          </w:rPr>
          <w:t xml:space="preserve">arxiv.org/abs/2502.14678</w:t>
        </w:r>
      </w:hyperlink>
      <w:bookmarkEnd w:id="91"/>
    </w:p>
    <w:p>
      <w:pPr>
        <w:pStyle w:val="ReferenceEntry"/>
        <w:numPr>
          <w:ilvl w:val="0"/>
          <w:numId w:val="1002"/>
        </w:numPr>
        <w:jc w:val="left"/>
        <w:keepNext w:val="0"/>
        <w:keepLines w:val="0"/>
        <w:widowControl w:val="1"/>
      </w:pPr>
      <w:bookmarkStart w:id="93"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92">
        <w:r>
          <w:rPr>
            <w:rStyle w:val="Hyperlink"/>
          </w:rPr>
          <w:t xml:space="preserve">arxiv.org/abs/2501.12789</w:t>
        </w:r>
      </w:hyperlink>
      <w:bookmarkEnd w:id="93"/>
    </w:p>
    <w:p>
      <w:pPr>
        <w:pStyle w:val="ReferenceEntry"/>
        <w:numPr>
          <w:ilvl w:val="0"/>
          <w:numId w:val="1002"/>
        </w:numPr>
        <w:jc w:val="left"/>
        <w:keepNext w:val="0"/>
        <w:keepLines w:val="0"/>
        <w:widowControl w:val="1"/>
      </w:pPr>
      <w:bookmarkStart w:id="95"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94">
        <w:r>
          <w:rPr>
            <w:rStyle w:val="Hyperlink"/>
          </w:rPr>
          <w:t xml:space="preserve">arxiv.org/abs/2502.17521</w:t>
        </w:r>
      </w:hyperlink>
      <w:bookmarkEnd w:id="95"/>
    </w:p>
    <w:p>
      <w:pPr>
        <w:pStyle w:val="ReferenceEntry"/>
        <w:numPr>
          <w:ilvl w:val="0"/>
          <w:numId w:val="1002"/>
        </w:numPr>
        <w:jc w:val="left"/>
        <w:keepNext w:val="0"/>
        <w:keepLines w:val="0"/>
        <w:widowControl w:val="1"/>
      </w:pPr>
      <w:bookmarkStart w:id="97"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96">
        <w:r>
          <w:rPr>
            <w:rStyle w:val="Hyperlink"/>
          </w:rPr>
          <w:t xml:space="preserve">doi.org/10.2307/2346806</w:t>
        </w:r>
      </w:hyperlink>
      <w:bookmarkEnd w:id="97"/>
    </w:p>
    <w:bookmarkEnd w:id="98"/>
    <w:bookmarkStart w:id="99"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99"/>
    <w:bookmarkStart w:id="100"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Heatmap of pairwise semantic similarity between auto-generated rubric criteria</w:t>
            </w:r>
          </w:p>
        </w:tc>
      </w:tr>
    </w:tbl>
    <w:p>
      <w:pPr>
        <w:pStyle w:val="ImageCaption"/>
        <w:spacing w:before="80" w:after="120" w:line="240" w:lineRule="auto"/>
        <w:jc w:val="center"/>
        <w:keepNext w:val="0"/>
        <w:keepLines/>
        <w:widowControl w:val="1"/>
      </w:pPr>
      <w:r>
        <w:rPr>
          <w:b/>
          <w:bCs/>
        </w:rPr>
        <w:t xml:space="preserve">Figure 5.</w:t>
      </w:r>
      <w:r>
        <w:t xml:space="preserve"> </w:t>
      </w:r>
      <w:r>
        <w:t xml:space="preserve">Pairwise semantic similarity of the 22 auto-generated rubric criteria across</w:t>
      </w:r>
      <w:r>
        <w:t xml:space="preserve"> </w:t>
      </w:r>
      <w:r>
        <w:t xml:space="preserve">four tasks. Block structure along the diagonal reflects task specialization (within-task</w:t>
      </w:r>
      <w:r>
        <w:t xml:space="preserve"> </w:t>
      </w:r>
      <m:oMath>
        <m:r>
          <m:t>0.342</m:t>
        </m:r>
        <m:r>
          <m:rPr>
            <m:sty m:val="p"/>
          </m:rPr>
          <m:t>&gt;</m:t>
        </m:r>
      </m:oMath>
      <w:r>
        <w:t xml:space="preserve"> </w:t>
      </w:r>
      <w:r>
        <w:t xml:space="preserve">cross-task</w:t>
      </w:r>
      <w:r>
        <w:t xml:space="preserve"> </w:t>
      </w:r>
      <m:oMath>
        <m:r>
          <m:t>0.294</m:t>
        </m:r>
      </m:oMath>
      <w:r>
        <w:t xml:space="preserve">), while a recurring “completeness” dimension forms a cross-task cluster.</w:t>
      </w:r>
    </w:p>
    <w:bookmarkEnd w:id="100"/>
    <w:bookmarkStart w:id="101" w:name="appC"/>
    <w:p>
      <w:pPr>
        <w:pStyle w:val="Heading2"/>
        <w:keepNext/>
        <w:keepLines/>
        <w:widowControl w:val="1"/>
      </w:pPr>
      <w:r>
        <w:t xml:space="preserve">Appendix C. Evaluation throughput</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Evaluations per dollar: CoEval versus human annotation</w:t>
            </w:r>
          </w:p>
        </w:tc>
      </w:tr>
    </w:tbl>
    <w:p>
      <w:pPr>
        <w:pStyle w:val="ImageCaption"/>
        <w:spacing w:before="80" w:after="120" w:line="240" w:lineRule="auto"/>
        <w:jc w:val="center"/>
        <w:keepNext w:val="0"/>
        <w:keepLines/>
        <w:widowControl w:val="1"/>
      </w:pPr>
      <w:r>
        <w:rPr>
          <w:b/>
          <w:bCs/>
        </w:rPr>
        <w:t xml:space="preserve">Figure 6.</w:t>
      </w:r>
      <w:r>
        <w:t xml:space="preserve"> </w:t>
      </w:r>
      <w:r>
        <w:t xml:space="preserve">Throughput. CoEval produces roughly</w:t>
      </w:r>
      <w:r>
        <w:t xml:space="preserve"> </w:t>
      </w:r>
      <m:oMath>
        <m:r>
          <m:t>1</m:t>
        </m:r>
        <m:r>
          <m:rPr>
            <m:sty m:val="p"/>
          </m:rPr>
          <m:t>,</m:t>
        </m:r>
        <m:r>
          <m:t>350</m:t>
        </m:r>
      </m:oMath>
      <w:r>
        <w:t xml:space="preserve"> </w:t>
      </w:r>
      <w:r>
        <w:t xml:space="preserve">evaluations per dollar</w:t>
      </w:r>
      <w:r>
        <w:t xml:space="preserve"> </w:t>
      </w:r>
      <w:r>
        <w:t xml:space="preserve">(7,978 evaluations for USD 5.89), two to three orders of magnitude above typical human annotation, enabling</w:t>
      </w:r>
      <w:r>
        <w:t xml:space="preserve"> </w:t>
      </w:r>
      <w:r>
        <w:t xml:space="preserve">re-evaluation on every model release.</w:t>
      </w:r>
    </w:p>
    <w:bookmarkEnd w:id="101"/>
    <w:bookmarkStart w:id="102"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pStyle w:val="BodyText"/>
        <w:jc w:val="both"/>
        <w:keepNext w:val="0"/>
        <w:keepLines w:val="0"/>
        <w:widowControl w:val="1"/>
      </w:pPr>
      <w:r>
        <w:rPr>
          <w:b/>
          <w:bCs/>
        </w:rPr>
        <w:t xml:space="preserve">Table D1.</w:t>
      </w:r>
      <w:r>
        <w:t xml:space="preserve"> </w:t>
      </w:r>
      <w:r>
        <w:t xml:space="preserve">From a one-line description to a scored benchmark, for three domains with no</w:t>
      </w:r>
      <w:r>
        <w:t xml:space="preserve"> </w:t>
      </w:r>
      <w:r>
        <w:t xml:space="preserve">public labeled data. The attribute strata and rubric criteria are auto-generated by the teacher; each domain yields</w:t>
      </w:r>
      <w:r>
        <w:t xml:space="preserve"> </w:t>
      </w:r>
      <m:oMath>
        <m:r>
          <m:t>40</m:t>
        </m:r>
      </m:oMath>
      <w:r>
        <w:t xml:space="preserve"> </w:t>
      </w:r>
      <w:r>
        <w:t xml:space="preserve">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Drug–drug interaction reasoning</w:t>
            </w:r>
            <w:r>
              <w:rPr>
                <w:rFonts w:ascii="Times New Roman" w:hAnsi="Times New Roman"/>
                <w:sz w:val="20"/>
              </w:rPr>
              <w:br/>
            </w:r>
            <w:r>
              <w:rPr>
                <w:rFonts w:ascii="Times New Roman" w:hAnsi="Times New Roman"/>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severity {contraindicated, major, moderate, minor}; mechanism {pharmacokinetic, pharmacodynamic};</w:t>
            </w:r>
            <w:r>
              <w:rPr>
                <w:rFonts w:ascii="Times New Roman" w:hAnsi="Times New Roman"/>
                <w:sz w:val="20"/>
              </w:rPr>
              <w:t xml:space="preserve"> </w:t>
            </w:r>
            <w:r>
              <w:rPr>
                <w:rFonts w:ascii="Times New Roman" w:hAnsi="Times New Roman"/>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Clinical reasoning</w:t>
            </w:r>
            <w:r>
              <w:rPr>
                <w:rFonts w:ascii="Times New Roman" w:hAnsi="Times New Roman"/>
                <w:sz w:val="20"/>
              </w:rPr>
              <w:br/>
            </w:r>
            <w:r>
              <w:rPr>
                <w:rFonts w:ascii="Times New Roman" w:hAnsi="Times New Roman"/>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Legal analysis</w:t>
            </w:r>
            <w:r>
              <w:rPr>
                <w:rFonts w:ascii="Times New Roman" w:hAnsi="Times New Roman"/>
                <w:sz w:val="20"/>
              </w:rPr>
              <w:br/>
            </w:r>
            <w:r>
              <w:rPr>
                <w:rFonts w:ascii="Times New Roman" w:hAnsi="Times New Roman"/>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legal_accuracy, reasoning_quality, completeness, clarity</w:t>
            </w:r>
          </w:p>
        </w:tc>
      </w:tr>
    </w:tbl>
    <w:p>
      <w:pPr>
        <w:pStyle w:val="BodyText"/>
        <w:spacing w:before="16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02"/>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ind w:firstLine="0"/>
      <w:jc w:val="center"/>
    </w:pPr>
    <w:rPr>
      <w:rFonts w:ascii="Times New Roman" w:hAnsi="Times New Roman"/>
      <w:b/>
      <w:i w:val="0"/>
      <w:sz w:val="22"/>
    </w:rPr>
  </w:style>
  <w:style w:customStyle="1" w:styleId="Keywords" w:type="paragraph">
    <w:name w:val="Keywords"/>
    <w:basedOn w:val="BodyText"/>
    <w:pPr>
      <w:keepNext w:val="0"/>
      <w:spacing w:after="80" w:before="0"/>
      <w:ind w:firstLin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58" Type="http://schemas.openxmlformats.org/officeDocument/2006/relationships/hyperlink" Target="https://arxiv.org/abs/2104.14337" TargetMode="External"/><Relationship Id="rId34" Type="http://schemas.openxmlformats.org/officeDocument/2006/relationships/hyperlink" Target="https://arxiv.org/abs/2303.16634" TargetMode="External"/><Relationship Id="rId32" Type="http://schemas.openxmlformats.org/officeDocument/2006/relationships/hyperlink" Target="https://arxiv.org/abs/2306.05685" TargetMode="External"/><Relationship Id="rId72" Type="http://schemas.openxmlformats.org/officeDocument/2006/relationships/hyperlink" Target="https://arxiv.org/abs/2308.07201" TargetMode="External"/><Relationship Id="rId76" Type="http://schemas.openxmlformats.org/officeDocument/2006/relationships/hyperlink" Target="https://arxiv.org/abs/2403.07974" TargetMode="External"/><Relationship Id="rId46" Type="http://schemas.openxmlformats.org/officeDocument/2006/relationships/hyperlink" Target="https://arxiv.org/abs/2404.04475" TargetMode="External"/><Relationship Id="rId40" Type="http://schemas.openxmlformats.org/officeDocument/2006/relationships/hyperlink" Target="https://arxiv.org/abs/2404.18796" TargetMode="External"/><Relationship Id="rId54" Type="http://schemas.openxmlformats.org/officeDocument/2006/relationships/hyperlink" Target="https://arxiv.org/abs/2405.00332" TargetMode="External"/><Relationship Id="rId36" Type="http://schemas.openxmlformats.org/officeDocument/2006/relationships/hyperlink" Target="https://arxiv.org/abs/2405.01535" TargetMode="External"/><Relationship Id="rId44" Type="http://schemas.openxmlformats.org/officeDocument/2006/relationships/hyperlink" Target="https://arxiv.org/abs/2406.05761" TargetMode="External"/><Relationship Id="rId74" Type="http://schemas.openxmlformats.org/officeDocument/2006/relationships/hyperlink" Target="https://arxiv.org/abs/2406.19314" TargetMode="External"/><Relationship Id="rId48" Type="http://schemas.openxmlformats.org/officeDocument/2006/relationships/hyperlink" Target="https://arxiv.org/abs/2407.08351" TargetMode="External"/><Relationship Id="rId38" Type="http://schemas.openxmlformats.org/officeDocument/2006/relationships/hyperlink" Target="https://arxiv.org/abs/2407.10817" TargetMode="External"/><Relationship Id="rId80" Type="http://schemas.openxmlformats.org/officeDocument/2006/relationships/hyperlink" Target="https://arxiv.org/abs/2408.08808" TargetMode="External"/><Relationship Id="rId64" Type="http://schemas.openxmlformats.org/officeDocument/2006/relationships/hyperlink" Target="https://arxiv.org/abs/2410.02736" TargetMode="External"/><Relationship Id="rId42" Type="http://schemas.openxmlformats.org/officeDocument/2006/relationships/hyperlink" Target="https://arxiv.org/abs/2410.12784" TargetMode="External"/><Relationship Id="rId66" Type="http://schemas.openxmlformats.org/officeDocument/2006/relationships/hyperlink" Target="https://arxiv.org/abs/2410.21819" TargetMode="External"/><Relationship Id="rId50" Type="http://schemas.openxmlformats.org/officeDocument/2006/relationships/hyperlink" Target="https://arxiv.org/abs/2410.22584" TargetMode="External"/><Relationship Id="rId68" Type="http://schemas.openxmlformats.org/officeDocument/2006/relationships/hyperlink" Target="https://arxiv.org/abs/2411.15594" TargetMode="External"/><Relationship Id="rId70" Type="http://schemas.openxmlformats.org/officeDocument/2006/relationships/hyperlink" Target="https://arxiv.org/abs/2411.16594" TargetMode="External"/><Relationship Id="rId92" Type="http://schemas.openxmlformats.org/officeDocument/2006/relationships/hyperlink" Target="https://arxiv.org/abs/2501.12789" TargetMode="External"/><Relationship Id="rId60" Type="http://schemas.openxmlformats.org/officeDocument/2006/relationships/hyperlink" Target="https://arxiv.org/abs/2502.01534" TargetMode="External"/><Relationship Id="rId56" Type="http://schemas.openxmlformats.org/officeDocument/2006/relationships/hyperlink" Target="https://arxiv.org/abs/2502.14425" TargetMode="External"/><Relationship Id="rId90" Type="http://schemas.openxmlformats.org/officeDocument/2006/relationships/hyperlink" Target="https://arxiv.org/abs/2502.14678" TargetMode="External"/><Relationship Id="rId94" Type="http://schemas.openxmlformats.org/officeDocument/2006/relationships/hyperlink" Target="https://arxiv.org/abs/2502.17521" TargetMode="External"/><Relationship Id="rId52" Type="http://schemas.openxmlformats.org/officeDocument/2006/relationships/hyperlink" Target="https://arxiv.org/abs/2504.01833" TargetMode="External"/><Relationship Id="rId78" Type="http://schemas.openxmlformats.org/officeDocument/2006/relationships/hyperlink" Target="https://arxiv.org/abs/2504.03846" TargetMode="External"/><Relationship Id="rId82" Type="http://schemas.openxmlformats.org/officeDocument/2006/relationships/hyperlink" Target="https://arxiv.org/abs/2504.17087" TargetMode="External"/><Relationship Id="rId62" Type="http://schemas.openxmlformats.org/officeDocument/2006/relationships/hyperlink" Target="https://arxiv.org/abs/2508.06709" TargetMode="External"/><Relationship Id="rId88" Type="http://schemas.openxmlformats.org/officeDocument/2006/relationships/hyperlink" Target="https://arxiv.org/abs/2601.21817" TargetMode="External"/><Relationship Id="rId84" Type="http://schemas.openxmlformats.org/officeDocument/2006/relationships/hyperlink" Target="https://arxiv.org/abs/2602.16610" TargetMode="External"/><Relationship Id="rId86" Type="http://schemas.openxmlformats.org/officeDocument/2006/relationships/hyperlink" Target="https://arxiv.org/abs/2603.00039" TargetMode="External"/><Relationship Id="rId96"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2026-06-02T20:49:48Z</dcterms:created>
  <dcterms:modified xsi:type="dcterms:W3CDTF">2026-06-02T20:49:48Z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