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Word (.docx)</w:t>
        </w:r>
      </w:hyperlink>
    </w:p>
    <w:bookmarkStart w:id="10" w:name="Xab5dd0b7b022e0e3b4332f7f482ca1588b7b75a"/>
    <w:p>
      <w:pPr>
        <w:pStyle w:val="Title"/>
        <w:spacing w:before="0" w:after="160"/>
        <w:jc w:val="center"/>
        <w:keepNext/>
        <w:keepLines/>
        <w:widowControl w:val="1"/>
      </w:pPr>
      <w:r>
        <w:t xml:space="preserve">CoEval: Ranking Language Models for Custom Tasks</w:t>
      </w:r>
      <w:r>
        <w:br/>
      </w:r>
      <w:r>
        <w:t xml:space="preserve">Without Labeled Data or Trustworthy Benchmarks</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BodyText"/>
        <w:jc w:val="both"/>
        <w:keepNext w:val="0"/>
        <w:keepLines w:val="0"/>
        <w:widowControl w:val="1"/>
      </w:pPr>
      <w:r>
        <w:t xml:space="preserve">Yehudit Aperstein</w:t>
      </w:r>
    </w:p>
    <w:p>
      <w:pPr>
        <w:pStyle w:val="BodyText"/>
        <w:jc w:val="both"/>
        <w:keepNext w:val="0"/>
        <w:keepLines w:val="0"/>
        <w:widowControl w:val="1"/>
      </w:pPr>
      <w:r>
        <w:t xml:space="preserve">Afeka Tel Aviv Academic College of Engineering, Israel</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w:t>
      </w:r>
      <w:r>
        <w:rPr>
          <w:i/>
          <w:iCs/>
        </w:rPr>
        <w:t xml:space="preserve">no human labels</w:t>
      </w:r>
      <w:r>
        <w:t xml:space="preserve">, and contamination-free because items are generated</w:t>
      </w:r>
      <w:r>
        <w:t xml:space="preserve"> </w:t>
      </w:r>
      <w:r>
        <w:t xml:space="preserve">anew per run—and a cross-family judge ensemble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—diversity across vendor families—rather than panel</w:t>
      </w:r>
      <w:r>
        <w:t xml:space="preserve"> </w:t>
      </w:r>
      <w:r>
        <w:rPr>
          <w:i/>
          <w:iCs/>
        </w:rPr>
        <w:t xml:space="preserve">size</w:t>
      </w:r>
      <w:r>
        <w:t xml:space="preserve"> </w:t>
      </w:r>
      <w:r>
        <w:t xml:space="preserve">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factors evaluation into three interchangeable roles —</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w:t>
      </w:r>
      <w:r>
        <w:t xml:space="preserve">— and runs any models across sixteen provider interfaces from one configuration file;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result—adding low-agreement judges</w:t>
      </w:r>
      <w:r>
        <w:t xml:space="preserve"> </w:t>
      </w:r>
      <w:r>
        <w:rPr>
          <w:i/>
          <w:iCs/>
        </w:rPr>
        <w:t xml:space="preserve">reduces</w:t>
      </w:r>
      <w:r>
        <w:t xml:space="preserve"> </w:t>
      </w:r>
      <w:r>
        <w:t xml:space="preserve">reliability—is what lets a small, well-chosen cross-family panel serve as a trustworthy, label-free substitute for a contaminated leaderboard.</w:t>
      </w:r>
    </w:p>
    <w:bookmarkEnd w:id="11"/>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application—summarizing clinical notes, answering</w:t>
      </w:r>
      <w:r>
        <w:t xml:space="preserve"> </w:t>
      </w:r>
      <w:r>
        <w:t xml:space="preserve">questions over an internal knowledge base, triaging support tickets for a particular product—faces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w:t>
      </w:r>
      <w:r>
        <w:t xml:space="preserve"> </w:t>
      </w:r>
      <w:r>
        <w:t xml:space="preserve">When both hold—no data</w:t>
      </w:r>
      <w:r>
        <w:t xml:space="preserve"> </w:t>
      </w:r>
      <w:r>
        <w:rPr>
          <w:i/>
          <w:iCs/>
        </w:rPr>
        <w:t xml:space="preserve">and</w:t>
      </w:r>
      <w:r>
        <w:t xml:space="preserve"> </w:t>
      </w:r>
      <w:r>
        <w:t xml:space="preserve">no benchmark one can trust—the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w:t>
      </w:r>
      <w:r>
        <w:t xml:space="preserve"> </w:t>
      </w:r>
      <w:hyperlink w:anchor="r1">
        <w:r>
          <w:rPr>
            <w:rStyle w:val="Hyperlink"/>
            <w:vertAlign w:val="superscript"/>
          </w:rPr>
          <w:t xml:space="preserve">[1]</w:t>
        </w:r>
      </w:hyperlink>
      <w:hyperlink w:anchor="r2">
        <w:r>
          <w:rPr>
            <w:rStyle w:val="Hyperlink"/>
            <w:vertAlign w:val="superscript"/>
          </w:rPr>
          <w:t xml:space="preserve">[2]</w:t>
        </w:r>
      </w:hyperlink>
      <w:r>
        <w:t xml:space="preserve"> </w:t>
      </w:r>
      <w:r>
        <w:t xml:space="preserve">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hyperlink w:anchor="r8">
        <w:r>
          <w:rPr>
            <w:rStyle w:val="Hyperlink"/>
            <w:vertAlign w:val="superscript"/>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 the rigidity of static benchmarks and the bias of single judges —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file.</w:t>
      </w:r>
      <w:r>
        <w:t xml:space="preserve"> </w:t>
      </w:r>
      <w:r>
        <w:t xml:space="preserve">CoEval is model-agnostic and</w:t>
      </w:r>
      <w:r>
        <w:t xml:space="preserve"> </w:t>
      </w:r>
      <w:r>
        <w:t xml:space="preserve">task-agnostic: any model reachable through one of sixteen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is a single command, and we demonstrate (Section 5.1, Table 2) that CoEval</w:t>
      </w:r>
      <w:r>
        <w:t xml:space="preserve"> </w:t>
      </w:r>
      <w:r>
        <w:t xml:space="preserve">recovers the correct ground-truth ranking. The whole pipeline is specified in one YAML file and is fully</w:t>
      </w:r>
      <w:r>
        <w:t xml:space="preserve"> </w:t>
      </w:r>
      <w:r>
        <w:t xml:space="preserve">reproducible and open-source.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and rubric generalization.</w:t>
      </w:r>
    </w:p>
    <w:bookmarkEnd w:id="12"/>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w:t>
      </w:r>
      <w:r>
        <w:t xml:space="preserve"> </w:t>
      </w:r>
      <w:hyperlink w:anchor="r12">
        <w:r>
          <w:rPr>
            <w:rStyle w:val="Hyperlink"/>
            <w:vertAlign w:val="superscript"/>
          </w:rPr>
          <w:t xml:space="preserve">[12]</w:t>
        </w:r>
      </w:hyperlink>
      <w:r>
        <w:t xml:space="preserve">,</w:t>
      </w:r>
      <w:r>
        <w:t xml:space="preserve"> </w:t>
      </w:r>
      <w:r>
        <w:t xml:space="preserve">contamination surveys</w:t>
      </w:r>
      <w:r>
        <w:t xml:space="preserve"> </w:t>
      </w:r>
      <w:hyperlink w:anchor="r13">
        <w:r>
          <w:rPr>
            <w:rStyle w:val="Hyperlink"/>
            <w:vertAlign w:val="superscript"/>
          </w:rPr>
          <w:t xml:space="preserve">[13]</w:t>
        </w:r>
      </w:hyperlink>
      <w:r>
        <w:t xml:space="preserve">), which has driven continuously-refreshed</w:t>
      </w:r>
      <w:r>
        <w:t xml:space="preserve"> </w:t>
      </w:r>
      <w:r>
        <w:rPr>
          <w:i/>
          <w:iCs/>
        </w:rPr>
        <w:t xml:space="preserve">live</w:t>
      </w:r>
      <w:r>
        <w:t xml:space="preserve"> </w:t>
      </w:r>
      <w:r>
        <w:t xml:space="preserve">benchmarks (LiveBench</w:t>
      </w:r>
      <w:r>
        <w:t xml:space="preserve"> </w:t>
      </w:r>
      <w:hyperlink w:anchor="r22">
        <w:r>
          <w:rPr>
            <w:rStyle w:val="Hyperlink"/>
            <w:vertAlign w:val="superscript"/>
          </w:rPr>
          <w:t xml:space="preserve">[22]</w:t>
        </w:r>
      </w:hyperlink>
      <w:r>
        <w:t xml:space="preserve">, LiveCodeBench</w:t>
      </w:r>
      <w:r>
        <w:t xml:space="preserve"> </w:t>
      </w:r>
      <w:hyperlink w:anchor="r23">
        <w:r>
          <w:rPr>
            <w:rStyle w:val="Hyperlink"/>
            <w:vertAlign w:val="superscript"/>
          </w:rPr>
          <w:t xml:space="preserve">[23]</w:t>
        </w:r>
      </w:hyperlink>
      <w:r>
        <w:t xml:space="preserve">) and</w:t>
      </w:r>
      <w:r>
        <w:t xml:space="preserve"> </w:t>
      </w:r>
      <w:r>
        <w:t xml:space="preserve">exposed leakage on the judge side as well (Preference Leakage</w:t>
      </w:r>
      <w:r>
        <w:t xml:space="preserve"> </w:t>
      </w:r>
      <w:hyperlink w:anchor="r15">
        <w:r>
          <w:rPr>
            <w:rStyle w:val="Hyperlink"/>
            <w:vertAlign w:val="superscript"/>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hyperlink w:anchor="r9">
        <w:r>
          <w:rPr>
            <w:rStyle w:val="Hyperlink"/>
            <w:vertAlign w:val="superscript"/>
          </w:rPr>
          <w:t xml:space="preserve">[9]</w:t>
        </w:r>
      </w:hyperlink>
      <w:r>
        <w:t xml:space="preserve">, BenchAgents</w:t>
      </w:r>
      <w:r>
        <w:t xml:space="preserve"> </w:t>
      </w:r>
      <w:hyperlink w:anchor="r10">
        <w:r>
          <w:rPr>
            <w:rStyle w:val="Hyperlink"/>
            <w:vertAlign w:val="superscript"/>
          </w:rPr>
          <w:t xml:space="preserve">[10]</w:t>
        </w:r>
      </w:hyperlink>
      <w:r>
        <w:t xml:space="preserve">, YourBench</w:t>
      </w:r>
      <w:r>
        <w:t xml:space="preserve"> </w:t>
      </w:r>
      <w:hyperlink w:anchor="r11">
        <w:r>
          <w:rPr>
            <w:rStyle w:val="Hyperlink"/>
            <w:vertAlign w:val="superscript"/>
          </w:rPr>
          <w:t xml:space="preserve">[11]</w:t>
        </w:r>
      </w:hyperlink>
      <w:r>
        <w:t xml:space="preserve">, domain-specific construction</w:t>
      </w:r>
      <w:r>
        <w:t xml:space="preserve"> </w:t>
      </w:r>
      <w:hyperlink w:anchor="r25">
        <w:r>
          <w:rPr>
            <w:rStyle w:val="Hyperlink"/>
            <w:vertAlign w:val="superscript"/>
          </w:rPr>
          <w:t xml:space="preserve">[25]</w:t>
        </w:r>
      </w:hyperlink>
      <w:r>
        <w:t xml:space="preserve">).</w:t>
      </w:r>
      <w:r>
        <w:t xml:space="preserve"> </w:t>
      </w:r>
      <w:r>
        <w:t xml:space="preserve">(iii) </w:t>
      </w:r>
      <w:r>
        <w:rPr>
          <w:i/>
          <w:iCs/>
        </w:rPr>
        <w:t xml:space="preserve">LLM-as-judge</w:t>
      </w:r>
      <w:r>
        <w:t xml:space="preserve"> </w:t>
      </w:r>
      <w:r>
        <w:t xml:space="preserve">methods (G-Eval</w:t>
      </w:r>
      <w:r>
        <w:t xml:space="preserve"> </w:t>
      </w:r>
      <w:hyperlink w:anchor="r2">
        <w:r>
          <w:rPr>
            <w:rStyle w:val="Hyperlink"/>
            <w:vertAlign w:val="superscript"/>
          </w:rPr>
          <w:t xml:space="preserve">[2]</w:t>
        </w:r>
      </w:hyperlink>
      <w:r>
        <w:t xml:space="preserve">, Prometheus 2</w:t>
      </w:r>
      <w:r>
        <w:t xml:space="preserve"> </w:t>
      </w:r>
      <w:hyperlink w:anchor="r3">
        <w:r>
          <w:rPr>
            <w:rStyle w:val="Hyperlink"/>
            <w:vertAlign w:val="superscript"/>
          </w:rPr>
          <w:t xml:space="preserve">[3]</w:t>
        </w:r>
      </w:hyperlink>
      <w:r>
        <w:t xml:space="preserve">, panels</w:t>
      </w:r>
      <w:r>
        <w:t xml:space="preserve"> </w:t>
      </w:r>
      <w:hyperlink w:anchor="r5">
        <w:r>
          <w:rPr>
            <w:rStyle w:val="Hyperlink"/>
            <w:vertAlign w:val="superscript"/>
          </w:rPr>
          <w:t xml:space="preserve">[5]</w:t>
        </w:r>
      </w:hyperlink>
      <w:r>
        <w:t xml:space="preserve">) provide label-free scoring but inherit</w:t>
      </w:r>
      <w:r>
        <w:t xml:space="preserve"> </w:t>
      </w:r>
      <w:r>
        <w:t xml:space="preserve">individual-judge biases. CoEval is, to our knowledge, the first to combine all three—contamination-free,</w:t>
      </w:r>
      <w:r>
        <w:t xml:space="preserve"> </w:t>
      </w:r>
      <w:r>
        <w:t xml:space="preserve">label-free, domain-targeted generation with a reliability-controlled cross-family judge ensemble—into a single</w:t>
      </w:r>
      <w:r>
        <w:t xml:space="preserve"> </w:t>
      </w:r>
      <w:r>
        <w:t xml:space="preserve">tool aimed at the no-data, untrusted-benchmark regime. We detail each line below.</w:t>
      </w:r>
    </w:p>
    <w:bookmarkStart w:id="13"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w:t>
      </w:r>
      <w:r>
        <w:t xml:space="preserve"> </w:t>
      </w:r>
      <w:hyperlink w:anchor="r1">
        <w:r>
          <w:rPr>
            <w:rStyle w:val="Hyperlink"/>
            <w:vertAlign w:val="superscript"/>
          </w:rPr>
          <w:t xml:space="preserve">[1]</w:t>
        </w:r>
      </w:hyperlink>
      <w:r>
        <w:t xml:space="preserve"> </w:t>
      </w:r>
      <w:r>
        <w:t xml:space="preserve">established LLM-as-judge as a scalable proxy for human</w:t>
      </w:r>
      <w:r>
        <w:t xml:space="preserve"> </w:t>
      </w:r>
      <w:r>
        <w:t xml:space="preserve">preference, and documented its biases. G-Eval</w:t>
      </w:r>
      <w:r>
        <w:t xml:space="preserve"> </w:t>
      </w:r>
      <w:hyperlink w:anchor="r2">
        <w:r>
          <w:rPr>
            <w:rStyle w:val="Hyperlink"/>
            <w:vertAlign w:val="superscript"/>
          </w:rPr>
          <w:t xml:space="preserve">[2]</w:t>
        </w:r>
      </w:hyperlink>
      <w:r>
        <w:t xml:space="preserve"> </w:t>
      </w:r>
      <w:r>
        <w:t xml:space="preserve">uses a single strong model with</w:t>
      </w:r>
      <w:r>
        <w:t xml:space="preserve"> </w:t>
      </w:r>
      <w:r>
        <w:t xml:space="preserve">chain-of-thought to score generation quality against a user-supplied rubric, while Prometheus 2</w:t>
      </w:r>
      <w:r>
        <w:t xml:space="preserve"> </w:t>
      </w:r>
      <w:hyperlink w:anchor="r3">
        <w:r>
          <w:rPr>
            <w:rStyle w:val="Hyperlink"/>
            <w:vertAlign w:val="superscript"/>
          </w:rPr>
          <w:t xml:space="preserve">[3]</w:t>
        </w:r>
      </w:hyperlink>
      <w:r>
        <w:t xml:space="preserve"> </w:t>
      </w:r>
      <w:r>
        <w:t xml:space="preserve">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w:t>
      </w:r>
      <w:r>
        <w:t xml:space="preserve"> </w:t>
      </w:r>
      <w:hyperlink w:anchor="r4">
        <w:r>
          <w:rPr>
            <w:rStyle w:val="Hyperlink"/>
            <w:vertAlign w:val="superscript"/>
          </w:rPr>
          <w:t xml:space="preserve">[4]</w:t>
        </w:r>
      </w:hyperlink>
      <w:r>
        <w:t xml:space="preserve"> </w:t>
      </w:r>
      <w:r>
        <w:t xml:space="preserve">and JudgeBench</w:t>
      </w:r>
      <w:r>
        <w:t xml:space="preserve"> </w:t>
      </w:r>
      <w:hyperlink w:anchor="r6">
        <w:r>
          <w:rPr>
            <w:rStyle w:val="Hyperlink"/>
            <w:vertAlign w:val="superscript"/>
          </w:rPr>
          <w:t xml:space="preserve">[6]</w:t>
        </w:r>
      </w:hyperlink>
      <w:r>
        <w:t xml:space="preserve"> </w:t>
      </w:r>
      <w:r>
        <w:t xml:space="preserve">study the reliability of judge models, and BiGGen-Bench</w:t>
      </w:r>
      <w:r>
        <w:t xml:space="preserve"> </w:t>
      </w:r>
      <w:hyperlink w:anchor="r7">
        <w:r>
          <w:rPr>
            <w:rStyle w:val="Hyperlink"/>
            <w:vertAlign w:val="superscript"/>
          </w:rPr>
          <w:t xml:space="preserve">[7]</w:t>
        </w:r>
      </w:hyperlink>
      <w:r>
        <w:t xml:space="preserve"> </w:t>
      </w:r>
      <w:r>
        <w:t xml:space="preserve">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w:t>
      </w:r>
      <w:r>
        <w:t xml:space="preserve"> </w:t>
      </w:r>
      <w:hyperlink w:anchor="r5">
        <w:r>
          <w:rPr>
            <w:rStyle w:val="Hyperlink"/>
            <w:vertAlign w:val="superscript"/>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w:t>
      </w:r>
      <w:r>
        <w:t xml:space="preserve"> </w:t>
      </w:r>
      <w:hyperlink w:anchor="r21">
        <w:r>
          <w:rPr>
            <w:rStyle w:val="Hyperlink"/>
            <w:vertAlign w:val="superscript"/>
          </w:rPr>
          <w:t xml:space="preserve">[21]</w:t>
        </w:r>
      </w:hyperlink>
      <w:r>
        <w:t xml:space="preserve"> </w:t>
      </w:r>
      <w:r>
        <w:t xml:space="preserve">and</w:t>
      </w:r>
      <w:r>
        <w:t xml:space="preserve"> </w:t>
      </w:r>
      <w:r>
        <w:t xml:space="preserve">meta-judge frameworks</w:t>
      </w:r>
      <w:r>
        <w:t xml:space="preserve"> </w:t>
      </w:r>
      <w:hyperlink w:anchor="r26">
        <w:r>
          <w:rPr>
            <w:rStyle w:val="Hyperlink"/>
            <w:vertAlign w:val="superscript"/>
          </w:rPr>
          <w:t xml:space="preserve">[26]</w:t>
        </w:r>
      </w:hyperlink>
      <w:r>
        <w:t xml:space="preserve"> </w:t>
      </w:r>
      <w:r>
        <w:t xml:space="preserve">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this same-family bias statistically, finding that frontier models favor</w:t>
      </w:r>
      <w:r>
        <w:t xml:space="preserve"> </w:t>
      </w:r>
      <w:r>
        <w:t xml:space="preserve">same-family outputs. Self-preference has been characterized mechanistically</w:t>
      </w:r>
      <w:r>
        <w:t xml:space="preserve"> </w:t>
      </w:r>
      <w:hyperlink w:anchor="r18">
        <w:r>
          <w:rPr>
            <w:rStyle w:val="Hyperlink"/>
            <w:vertAlign w:val="superscript"/>
          </w:rPr>
          <w:t xml:space="preserve">[18]</w:t>
        </w:r>
      </w:hyperlink>
      <w:r>
        <w:t xml:space="preserve"> </w:t>
      </w:r>
      <w:r>
        <w:t xml:space="preserve">and</w:t>
      </w:r>
      <w:r>
        <w:t xml:space="preserve"> </w:t>
      </w:r>
      <w:r>
        <w:t xml:space="preserve">partly attributed to legitimate capability rather than pure bias</w:t>
      </w:r>
      <w:r>
        <w:t xml:space="preserve"> </w:t>
      </w:r>
      <w:hyperlink w:anchor="r24">
        <w:r>
          <w:rPr>
            <w:rStyle w:val="Hyperlink"/>
            <w:vertAlign w:val="superscript"/>
          </w:rPr>
          <w:t xml:space="preserve">[24]</w:t>
        </w:r>
      </w:hyperlink>
      <w:r>
        <w:t xml:space="preserve">. Broad bias</w:t>
      </w:r>
      <w:r>
        <w:t xml:space="preserve"> </w:t>
      </w:r>
      <w:r>
        <w:t xml:space="preserve">taxonomies</w:t>
      </w:r>
      <w:r>
        <w:t xml:space="preserve"> </w:t>
      </w:r>
      <w:hyperlink w:anchor="r17">
        <w:r>
          <w:rPr>
            <w:rStyle w:val="Hyperlink"/>
            <w:vertAlign w:val="superscript"/>
          </w:rPr>
          <w:t xml:space="preserve">[17]</w:t>
        </w:r>
      </w:hyperlink>
      <w:r>
        <w:t xml:space="preserve"> </w:t>
      </w:r>
      <w:r>
        <w:t xml:space="preserve">and recent surveys</w:t>
      </w:r>
      <w:r>
        <w:t xml:space="preserve"> </w:t>
      </w:r>
      <w:hyperlink w:anchor="r19">
        <w:r>
          <w:rPr>
            <w:rStyle w:val="Hyperlink"/>
            <w:vertAlign w:val="superscript"/>
          </w:rPr>
          <w:t xml:space="preserve">[19]</w:t>
        </w:r>
      </w:hyperlink>
      <w:hyperlink w:anchor="r20">
        <w:r>
          <w:rPr>
            <w:rStyle w:val="Hyperlink"/>
            <w:vertAlign w:val="superscript"/>
          </w:rPr>
          <w:t xml:space="preserve">[20]</w:t>
        </w:r>
      </w:hyperlink>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level—and pairs it with</w:t>
      </w:r>
      <w:r>
        <w:t xml:space="preserve"> </w:t>
      </w:r>
      <w:r>
        <w:t xml:space="preserve">contamination-free item generation, so both items and judges are bias-hardened rather than only the scoring step.</w:t>
      </w:r>
    </w:p>
    <w:bookmarkEnd w:id="13"/>
    <w:bookmarkStart w:id="14"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w:t>
      </w:r>
      <w:r>
        <w:t xml:space="preserve"> </w:t>
      </w:r>
      <w:hyperlink w:anchor="r9">
        <w:r>
          <w:rPr>
            <w:rStyle w:val="Hyperlink"/>
            <w:vertAlign w:val="superscript"/>
          </w:rPr>
          <w:t xml:space="preserve">[9]</w:t>
        </w:r>
      </w:hyperlink>
      <w:r>
        <w:t xml:space="preserve"> </w:t>
      </w:r>
      <w:r>
        <w:t xml:space="preserve">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w:t>
      </w:r>
      <w:r>
        <w:t xml:space="preserve"> </w:t>
      </w:r>
      <w:hyperlink w:anchor="r10">
        <w:r>
          <w:rPr>
            <w:rStyle w:val="Hyperlink"/>
            <w:vertAlign w:val="superscript"/>
          </w:rPr>
          <w:t xml:space="preserve">[10]</w:t>
        </w:r>
      </w:hyperlink>
      <w:r>
        <w:t xml:space="preserve"> </w:t>
      </w:r>
      <w:r>
        <w:t xml:space="preserve">and YourBench</w:t>
      </w:r>
      <w:r>
        <w:t xml:space="preserve"> </w:t>
      </w:r>
      <w:hyperlink w:anchor="r11">
        <w:r>
          <w:rPr>
            <w:rStyle w:val="Hyperlink"/>
            <w:vertAlign w:val="superscript"/>
          </w:rPr>
          <w:t xml:space="preserve">[11]</w:t>
        </w:r>
      </w:hyperlink>
      <w:r>
        <w:t xml:space="preserve"> </w:t>
      </w:r>
      <w:r>
        <w:t xml:space="preserve">likewise</w:t>
      </w:r>
      <w:r>
        <w:t xml:space="preserve"> </w:t>
      </w:r>
      <w:r>
        <w:t xml:space="preserve">automate benchmark construction; CoEval's distinguishing feature is attribute-</w:t>
      </w:r>
      <w:r>
        <w:rPr>
          <w:i/>
          <w:iCs/>
        </w:rPr>
        <w:t xml:space="preserve">stratified</w:t>
      </w:r>
      <w:r>
        <w:t xml:space="preserve"> </w:t>
      </w:r>
      <w:r>
        <w:t xml:space="preserve">coverage—the</w:t>
      </w:r>
      <w:r>
        <w:t xml:space="preserve"> </w:t>
      </w:r>
      <w:r>
        <w:t xml:space="preserve">sampler allocates a per-stratum floor of items to each declared attribute combination—coupled to bias-cancelled</w:t>
      </w:r>
      <w:r>
        <w:t xml:space="preserve"> </w:t>
      </w:r>
      <w:r>
        <w:t xml:space="preserve">scoring. The contamination motivation is sharpened by GSM1k</w:t>
      </w:r>
      <w:r>
        <w:t xml:space="preserve"> </w:t>
      </w:r>
      <w:hyperlink w:anchor="r12">
        <w:r>
          <w:rPr>
            <w:rStyle w:val="Hyperlink"/>
            <w:vertAlign w:val="superscript"/>
          </w:rPr>
          <w:t xml:space="preserve">[12]</w:t>
        </w:r>
      </w:hyperlink>
      <w:r>
        <w:t xml:space="preserve">, which exposed memorization on grade-school arithmetic, and by recent surveys of</w:t>
      </w:r>
      <w:r>
        <w:t xml:space="preserve"> </w:t>
      </w:r>
      <w:r>
        <w:t xml:space="preserve">data contamination in LLMs</w:t>
      </w:r>
      <w:r>
        <w:t xml:space="preserve"> </w:t>
      </w:r>
      <w:hyperlink w:anchor="r13">
        <w:r>
          <w:rPr>
            <w:rStyle w:val="Hyperlink"/>
            <w:vertAlign w:val="superscript"/>
          </w:rPr>
          <w:t xml:space="preserve">[13]</w:t>
        </w:r>
      </w:hyperlink>
      <w:r>
        <w:t xml:space="preserve">. Live benchmarks such as LiveBench</w:t>
      </w:r>
      <w:r>
        <w:t xml:space="preserve"> </w:t>
      </w:r>
      <w:hyperlink w:anchor="r22">
        <w:r>
          <w:rPr>
            <w:rStyle w:val="Hyperlink"/>
            <w:vertAlign w:val="superscript"/>
          </w:rPr>
          <w:t xml:space="preserve">[22]</w:t>
        </w:r>
      </w:hyperlink>
      <w:r>
        <w:t xml:space="preserve"> </w:t>
      </w:r>
      <w:r>
        <w:t xml:space="preserve">and LiveCodeBench</w:t>
      </w:r>
      <w:r>
        <w:t xml:space="preserve"> </w:t>
      </w:r>
      <w:hyperlink w:anchor="r23">
        <w:r>
          <w:rPr>
            <w:rStyle w:val="Hyperlink"/>
            <w:vertAlign w:val="superscript"/>
          </w:rPr>
          <w:t xml:space="preserve">[23]</w:t>
        </w:r>
      </w:hyperlink>
      <w:r>
        <w:t xml:space="preserve"> </w:t>
      </w:r>
      <w:r>
        <w:t xml:space="preserve">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w:t>
      </w:r>
      <w:r>
        <w:t xml:space="preserve"> </w:t>
      </w:r>
      <w:hyperlink w:anchor="r14">
        <w:r>
          <w:rPr>
            <w:rStyle w:val="Hyperlink"/>
            <w:vertAlign w:val="superscript"/>
          </w:rPr>
          <w:t xml:space="preserve">[14]</w:t>
        </w:r>
      </w:hyperlink>
      <w:r>
        <w:t xml:space="preserve"> </w:t>
      </w:r>
      <w:r>
        <w:t xml:space="preserve">proposed dynamic, human-in-the-loop</w:t>
      </w:r>
      <w:r>
        <w:t xml:space="preserve"> </w:t>
      </w:r>
      <w:r>
        <w:t xml:space="preserve">renewal; CoEval automates renewal without humans. Constructing domain-specific evaluation sets for LLM judges</w:t>
      </w:r>
      <w:r>
        <w:t xml:space="preserve"> </w:t>
      </w:r>
      <w:hyperlink w:anchor="r25">
        <w:r>
          <w:rPr>
            <w:rStyle w:val="Hyperlink"/>
            <w:vertAlign w:val="superscript"/>
          </w:rPr>
          <w:t xml:space="preserve">[25]</w:t>
        </w:r>
      </w:hyperlink>
      <w:r>
        <w:t xml:space="preserve"> </w:t>
      </w:r>
      <w:r>
        <w:t xml:space="preserve">targets verticals such as medicine and law; CoEval generates such domain-targeted</w:t>
      </w:r>
      <w:r>
        <w:t xml:space="preserve"> </w:t>
      </w:r>
      <w:r>
        <w:t xml:space="preserve">items automatically within the same pipeline. Length-Controlled AlpacaEval</w:t>
      </w:r>
      <w:r>
        <w:t xml:space="preserve"> </w:t>
      </w:r>
      <w:hyperlink w:anchor="r8">
        <w:r>
          <w:rPr>
            <w:rStyle w:val="Hyperlink"/>
            <w:vertAlign w:val="superscript"/>
          </w:rPr>
          <w:t xml:space="preserve">[8]</w:t>
        </w:r>
      </w:hyperlink>
      <w:r>
        <w:t xml:space="preserve"> </w:t>
      </w:r>
      <w:r>
        <w:t xml:space="preserve">debiases for</w:t>
      </w:r>
      <w:r>
        <w:t xml:space="preserve"> </w:t>
      </w:r>
      <w:r>
        <w:t xml:space="preserve">verbosity post hoc on a single judge; CoEval instead cancels verbosity bias through panel diversity (Section 5.3).</w:t>
      </w:r>
    </w:p>
    <w:bookmarkEnd w:id="14"/>
    <w:bookmarkEnd w:id="15"/>
    <w:bookmarkStart w:id="23"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7" name="Picture"/>
            <a:graphic>
              <a:graphicData uri="http://schemas.openxmlformats.org/drawingml/2006/picture">
                <pic:pic>
                  <pic:nvPicPr>
                    <pic:cNvPr descr="figures/f1_architecture.png" id="18" name="Picture"/>
                    <pic:cNvPicPr>
                      <a:picLocks noChangeArrowheads="1" noChangeAspect="1"/>
                    </pic:cNvPicPr>
                  </pic:nvPicPr>
                  <pic:blipFill>
                    <a:blip r:embed="rId16"/>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9"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9"/>
    <w:bookmarkStart w:id="20"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(Appendix A,</w:t>
      </w:r>
      <w:r>
        <w:t xml:space="preserve"> </w:t>
      </w:r>
      <w:r>
        <w:t xml:space="preserve">panel A3)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 contamination-resistance is a structural property of generation, not a post-hoc filter.</w:t>
      </w:r>
    </w:p>
    <w:bookmarkEnd w:id="20"/>
    <w:bookmarkStart w:id="21"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 as we observe empirically for verbosity</w:t>
      </w:r>
      <w:r>
        <w:t xml:space="preserve"> </w:t>
      </w:r>
      <w:r>
        <w:t xml:space="preserve">(Section 5.3) —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1"/>
    <w:bookmarkStart w:id="22"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2"/>
    <w:bookmarkEnd w:id="23"/>
    <w:bookmarkStart w:id="24"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configuration—model identifiers,</w:t>
      </w:r>
      <w:r>
        <w:t xml:space="preserve"> </w:t>
      </w:r>
      <w:r>
        <w:t xml:space="preserve">attribute strata, and prompts—is captured in a single declarative YAML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4"/>
    <w:bookmarkStart w:id="48"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—they track objective ground truth (</w:t>
      </w:r>
      <m:oMath>
        <m:r>
          <m:t>ρ</m:t>
        </m:r>
        <m:r>
          <m:rPr>
            <m:sty m:val="p"/>
          </m:rPr>
          <m:t>=</m:t>
        </m:r>
        <m:r>
          <m:t>0.86</m:t>
        </m:r>
      </m:oMath>
      <w:r>
        <w:t xml:space="preserve">) and reproduce the true model</w:t>
      </w:r>
      <w:r>
        <w:t xml:space="preserve"> </w:t>
      </w:r>
      <w:r>
        <w:t xml:space="preserve">ranking (Table 2)—benchmarked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directly—that the generated items are</w:t>
      </w:r>
      <w:r>
        <w:t xml:space="preserve"> </w:t>
      </w:r>
      <w:r>
        <w:rPr>
          <w:i/>
          <w:iCs/>
        </w:rPr>
        <w:t xml:space="preserve">contamination-free</w:t>
      </w:r>
      <w:r>
        <w:t xml:space="preserve">—and Section 5.7 shows the process is cheap enough to re-run per use case, and Section 5.8 exercises the complete tool on two custom verticals (clinical, legal) with no labeled data.</w:t>
      </w:r>
    </w:p>
    <w:bookmarkStart w:id="28"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hyperlink w:anchor="r2">
        <w:r>
          <w:rPr>
            <w:rStyle w:val="Hyperlink"/>
            <w:vertAlign w:val="superscript"/>
          </w:rPr>
          <w:t xml:space="preserve">[2]</w:t>
        </w:r>
      </w:hyperlink>
      <w:r>
        <w:t xml:space="preserve"> </w:t>
      </w:r>
      <w:r>
        <w:t xml:space="preserve">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consumes—properties no single judge provides.</w:t>
      </w:r>
    </w:p>
    <w:p>
      <w:pPr>
        <w:pStyle w:val="BodyText"/>
        <w:jc w:val="center"/>
        <w:keepNext/>
        <w:keepLines/>
        <w:widowControl w:val="1"/>
      </w:pPr>
      <w:r>
        <w:drawing>
          <wp:inline>
            <wp:extent cx="5023104" cy="3169920"/>
            <wp:effectExtent b="0" l="0" r="0" t="0"/>
            <wp:docPr descr="Spearman correlation with ground-truth correctness per judge and ensemble" title="" id="26" name="Picture"/>
            <a:graphic>
              <a:graphicData uri="http://schemas.openxmlformats.org/drawingml/2006/picture">
                <pic:pic>
                  <pic:nvPicPr>
                    <pic:cNvPr descr="figures/f4_correctness_corr.png" id="27" name="Picture"/>
                    <pic:cNvPicPr>
                      <a:picLocks noChangeArrowheads="1" noChangeAspect="1"/>
                    </pic:cNvPicPr>
                  </pic:nvPicPr>
                  <pic:blipFill>
                    <a:blip r:embed="rId25"/>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here—a vendor-independent reliability floor on objective tasks.</w:t>
      </w:r>
    </w:p>
    <w:p>
      <w:pPr>
        <w:pStyle w:val="BodyText"/>
        <w:jc w:val="both"/>
        <w:keepNext w:val="0"/>
        <w:keepLines w:val="0"/>
        <w:widowControl w:val="1"/>
      </w:pPr>
      <w:r>
        <w:t xml:space="preserve">Evaluation is a means to an end—</w:t>
      </w:r>
      <w:r>
        <w:rPr>
          <w:i/>
          <w:iCs/>
        </w:rPr>
        <w:t xml:space="preserve">ranking</w:t>
      </w:r>
      <w:r>
        <w:t xml:space="preserve"> </w:t>
      </w:r>
      <w:r>
        <w:t xml:space="preserve">candidate models for a use case—so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8"/>
    <w:bookmarkStart w:id="32"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 which would otherwise</w:t>
      </w:r>
      <w:r>
        <w:t xml:space="preserve"> </w:t>
      </w:r>
      <w:r>
        <w:t xml:space="preserve">degrade a naive ensemble —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30" name="Picture"/>
            <a:graphic>
              <a:graphicData uri="http://schemas.openxmlformats.org/drawingml/2006/picture">
                <pic:pic>
                  <pic:nvPicPr>
                    <pic:cNvPr descr="figures/f2_icc_curve.png" id="31" name="Picture"/>
                    <pic:cNvPicPr>
                      <a:picLocks noChangeArrowheads="1" noChangeAspect="1"/>
                    </pic:cNvPicPr>
                  </pic:nvPicPr>
                  <pic:blipFill>
                    <a:blip r:embed="rId29"/>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2"/>
    <w:bookmarkStart w:id="36"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 the tendency to reward longer responses —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same—assemble judges whose idiosyncratic biases are unlikely to align—and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4" name="Picture"/>
            <a:graphic>
              <a:graphicData uri="http://schemas.openxmlformats.org/drawingml/2006/picture">
                <pic:pic>
                  <pic:nvPicPr>
                    <pic:cNvPr descr="figures/f3_verbosity_forest.png" id="35" name="Picture"/>
                    <pic:cNvPicPr>
                      <a:picLocks noChangeArrowheads="1" noChangeAspect="1"/>
                    </pic:cNvPicPr>
                  </pic:nvPicPr>
                  <pic:blipFill>
                    <a:blip r:embed="rId33"/>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6"/>
    <w:bookmarkStart w:id="37"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identifies same-model and same-family relatedness as a contamination vector,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7"/>
    <w:bookmarkStart w:id="41"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w:t>
      </w:r>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9" name="Picture"/>
            <a:graphic>
              <a:graphicData uri="http://schemas.openxmlformats.org/drawingml/2006/picture">
                <pic:pic>
                  <pic:nvPicPr>
                    <pic:cNvPr descr="figures/f5_rubric_heatmap.png" id="40" name="Picture"/>
                    <pic:cNvPicPr>
                      <a:picLocks noChangeArrowheads="1" noChangeAspect="1"/>
                    </pic:cNvPicPr>
                  </pic:nvPicPr>
                  <pic:blipFill>
                    <a:blip r:embed="rId3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1"/>
    <w:bookmarkStart w:id="42"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corroborating—alongside</w:t>
      </w:r>
      <w:r>
        <w:t xml:space="preserve"> </w:t>
      </w:r>
      <w:r>
        <w:t xml:space="preserve">the structural freshness guarantee—that generated evaluation items are not leaked copies of public test sets.</w:t>
      </w:r>
    </w:p>
    <w:bookmarkEnd w:id="42"/>
    <w:bookmarkStart w:id="46"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 teacher generation, student response collection, cross-family judging,</w:t>
      </w:r>
      <w:r>
        <w:t xml:space="preserve"> </w:t>
      </w:r>
      <w:r>
        <w:t xml:space="preserve">and analysis —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4" name="Picture"/>
            <a:graphic>
              <a:graphicData uri="http://schemas.openxmlformats.org/drawingml/2006/picture">
                <pic:pic>
                  <pic:nvPicPr>
                    <pic:cNvPr descr="figures/f6_cost.png" id="45" name="Picture"/>
                    <pic:cNvPicPr>
                      <a:picLocks noChangeArrowheads="1" noChangeAspect="1"/>
                    </pic:cNvPicPr>
                  </pic:nvPicPr>
                  <pic:blipFill>
                    <a:blip r:embed="rId4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6"/>
    <w:bookmarkStart w:id="47"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7"/>
    <w:bookmarkEnd w:id="48"/>
    <w:bookmarkStart w:id="49"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need—its</w:t>
      </w:r>
      <w:r>
        <w:t xml:space="preserve"> </w:t>
      </w:r>
      <w:r>
        <w:t xml:space="preserve">label-free scores reproduce the true model ranking and track ground truth, and its generated items are verifiably</w:t>
      </w:r>
      <w:r>
        <w:t xml:space="preserve"> </w:t>
      </w:r>
      <w:r>
        <w:t xml:space="preserve">fresh—and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biases—verbosity,</w:t>
      </w:r>
      <w:r>
        <w:t xml:space="preserve"> </w:t>
      </w:r>
      <w:r>
        <w:t xml:space="preserve">self-preference—that any individual judge carries, while a same-family panel would merely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six task families and three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9"/>
    <w:bookmarkStart w:id="50"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50"/>
    <w:bookmarkStart w:id="103"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2"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1">
        <w:r>
          <w:rPr>
            <w:rStyle w:val="Hyperlink"/>
          </w:rPr>
          <w:t xml:space="preserve">arxiv.org/abs/2306.05685</w:t>
        </w:r>
      </w:hyperlink>
      <w:bookmarkEnd w:id="52"/>
    </w:p>
    <w:p>
      <w:pPr>
        <w:pStyle w:val="ReferenceEntry"/>
        <w:numPr>
          <w:ilvl w:val="0"/>
          <w:numId w:val="1002"/>
        </w:numPr>
        <w:jc w:val="left"/>
        <w:keepNext w:val="0"/>
        <w:keepLines w:val="0"/>
        <w:widowControl w:val="1"/>
      </w:pPr>
      <w:bookmarkStart w:id="54"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3">
        <w:r>
          <w:rPr>
            <w:rStyle w:val="Hyperlink"/>
          </w:rPr>
          <w:t xml:space="preserve">arxiv.org/abs/2303.16634</w:t>
        </w:r>
      </w:hyperlink>
      <w:bookmarkEnd w:id="54"/>
    </w:p>
    <w:p>
      <w:pPr>
        <w:pStyle w:val="ReferenceEntry"/>
        <w:numPr>
          <w:ilvl w:val="0"/>
          <w:numId w:val="1002"/>
        </w:numPr>
        <w:jc w:val="left"/>
        <w:keepNext w:val="0"/>
        <w:keepLines w:val="0"/>
        <w:widowControl w:val="1"/>
      </w:pPr>
      <w:bookmarkStart w:id="56"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5">
        <w:r>
          <w:rPr>
            <w:rStyle w:val="Hyperlink"/>
          </w:rPr>
          <w:t xml:space="preserve">arxiv.org/abs/2405.01535</w:t>
        </w:r>
      </w:hyperlink>
      <w:bookmarkEnd w:id="56"/>
    </w:p>
    <w:p>
      <w:pPr>
        <w:pStyle w:val="ReferenceEntry"/>
        <w:numPr>
          <w:ilvl w:val="0"/>
          <w:numId w:val="1002"/>
        </w:numPr>
        <w:jc w:val="left"/>
        <w:keepNext w:val="0"/>
        <w:keepLines w:val="0"/>
        <w:widowControl w:val="1"/>
      </w:pPr>
      <w:bookmarkStart w:id="58"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7">
        <w:r>
          <w:rPr>
            <w:rStyle w:val="Hyperlink"/>
          </w:rPr>
          <w:t xml:space="preserve">arxiv.org/abs/2407.10817</w:t>
        </w:r>
      </w:hyperlink>
      <w:bookmarkEnd w:id="58"/>
    </w:p>
    <w:p>
      <w:pPr>
        <w:pStyle w:val="ReferenceEntry"/>
        <w:numPr>
          <w:ilvl w:val="0"/>
          <w:numId w:val="1002"/>
        </w:numPr>
        <w:jc w:val="left"/>
        <w:keepNext w:val="0"/>
        <w:keepLines w:val="0"/>
        <w:widowControl w:val="1"/>
      </w:pPr>
      <w:bookmarkStart w:id="60"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9">
        <w:r>
          <w:rPr>
            <w:rStyle w:val="Hyperlink"/>
          </w:rPr>
          <w:t xml:space="preserve">arxiv.org/abs/2404.18796</w:t>
        </w:r>
      </w:hyperlink>
      <w:bookmarkEnd w:id="60"/>
    </w:p>
    <w:p>
      <w:pPr>
        <w:pStyle w:val="ReferenceEntry"/>
        <w:numPr>
          <w:ilvl w:val="0"/>
          <w:numId w:val="1002"/>
        </w:numPr>
        <w:jc w:val="left"/>
        <w:keepNext w:val="0"/>
        <w:keepLines w:val="0"/>
        <w:widowControl w:val="1"/>
      </w:pPr>
      <w:bookmarkStart w:id="62"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1">
        <w:r>
          <w:rPr>
            <w:rStyle w:val="Hyperlink"/>
          </w:rPr>
          <w:t xml:space="preserve">arxiv.org/abs/2410.12784</w:t>
        </w:r>
      </w:hyperlink>
      <w:bookmarkEnd w:id="62"/>
    </w:p>
    <w:p>
      <w:pPr>
        <w:pStyle w:val="ReferenceEntry"/>
        <w:numPr>
          <w:ilvl w:val="0"/>
          <w:numId w:val="1002"/>
        </w:numPr>
        <w:jc w:val="left"/>
        <w:keepNext w:val="0"/>
        <w:keepLines w:val="0"/>
        <w:widowControl w:val="1"/>
      </w:pPr>
      <w:bookmarkStart w:id="64"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3">
        <w:r>
          <w:rPr>
            <w:rStyle w:val="Hyperlink"/>
          </w:rPr>
          <w:t xml:space="preserve">arxiv.org/abs/2406.05761</w:t>
        </w:r>
      </w:hyperlink>
      <w:bookmarkEnd w:id="64"/>
    </w:p>
    <w:p>
      <w:pPr>
        <w:pStyle w:val="ReferenceEntry"/>
        <w:numPr>
          <w:ilvl w:val="0"/>
          <w:numId w:val="1002"/>
        </w:numPr>
        <w:jc w:val="left"/>
        <w:keepNext w:val="0"/>
        <w:keepLines w:val="0"/>
        <w:widowControl w:val="1"/>
      </w:pPr>
      <w:bookmarkStart w:id="66"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5">
        <w:r>
          <w:rPr>
            <w:rStyle w:val="Hyperlink"/>
          </w:rPr>
          <w:t xml:space="preserve">arxiv.org/abs/2404.04475</w:t>
        </w:r>
      </w:hyperlink>
      <w:bookmarkEnd w:id="66"/>
    </w:p>
    <w:p>
      <w:pPr>
        <w:pStyle w:val="ReferenceEntry"/>
        <w:numPr>
          <w:ilvl w:val="0"/>
          <w:numId w:val="1002"/>
        </w:numPr>
        <w:jc w:val="left"/>
        <w:keepNext w:val="0"/>
        <w:keepLines w:val="0"/>
        <w:widowControl w:val="1"/>
      </w:pPr>
      <w:bookmarkStart w:id="68" w:name="r9"/>
      <w:r>
        <w:t xml:space="preserve">Li, X. L., Kazemi, M., et al. (2024).</w:t>
      </w:r>
      <w:r>
        <w:t xml:space="preserve"> </w:t>
      </w:r>
      <w:r>
        <w:rPr>
          <w:i/>
          <w:iCs/>
        </w:rPr>
        <w:t xml:space="preserve">AutoBencher: Towards Declarative Benchmark Construction.</w:t>
      </w:r>
      <w:r>
        <w:t xml:space="preserve"> </w:t>
      </w:r>
      <w:hyperlink r:id="rId67">
        <w:r>
          <w:rPr>
            <w:rStyle w:val="Hyperlink"/>
          </w:rPr>
          <w:t xml:space="preserve">arxiv.org/abs/2407.08351</w:t>
        </w:r>
      </w:hyperlink>
      <w:bookmarkEnd w:id="68"/>
    </w:p>
    <w:p>
      <w:pPr>
        <w:pStyle w:val="ReferenceEntry"/>
        <w:numPr>
          <w:ilvl w:val="0"/>
          <w:numId w:val="1002"/>
        </w:numPr>
        <w:jc w:val="left"/>
        <w:keepNext w:val="0"/>
        <w:keepLines w:val="0"/>
        <w:widowControl w:val="1"/>
      </w:pPr>
      <w:bookmarkStart w:id="70"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9">
        <w:r>
          <w:rPr>
            <w:rStyle w:val="Hyperlink"/>
          </w:rPr>
          <w:t xml:space="preserve">arxiv.org/abs/2410.22584</w:t>
        </w:r>
      </w:hyperlink>
      <w:bookmarkEnd w:id="70"/>
    </w:p>
    <w:p>
      <w:pPr>
        <w:pStyle w:val="ReferenceEntry"/>
        <w:numPr>
          <w:ilvl w:val="0"/>
          <w:numId w:val="1002"/>
        </w:numPr>
        <w:jc w:val="left"/>
        <w:keepNext w:val="0"/>
        <w:keepLines w:val="0"/>
        <w:widowControl w:val="1"/>
      </w:pPr>
      <w:bookmarkStart w:id="72" w:name="r11"/>
      <w:r>
        <w:t xml:space="preserve">Shashidhar, S., et al. (2025).</w:t>
      </w:r>
      <w:r>
        <w:t xml:space="preserve"> </w:t>
      </w:r>
      <w:r>
        <w:rPr>
          <w:i/>
          <w:iCs/>
        </w:rPr>
        <w:t xml:space="preserve">YourBench: Easy Custom Evaluation Sets for Everyone.</w:t>
      </w:r>
      <w:r>
        <w:t xml:space="preserve"> </w:t>
      </w:r>
      <w:hyperlink r:id="rId71">
        <w:r>
          <w:rPr>
            <w:rStyle w:val="Hyperlink"/>
          </w:rPr>
          <w:t xml:space="preserve">arxiv.org/abs/2504.01833</w:t>
        </w:r>
      </w:hyperlink>
      <w:bookmarkEnd w:id="72"/>
    </w:p>
    <w:p>
      <w:pPr>
        <w:pStyle w:val="ReferenceEntry"/>
        <w:numPr>
          <w:ilvl w:val="0"/>
          <w:numId w:val="1002"/>
        </w:numPr>
        <w:jc w:val="left"/>
        <w:keepNext w:val="0"/>
        <w:keepLines w:val="0"/>
        <w:widowControl w:val="1"/>
      </w:pPr>
      <w:bookmarkStart w:id="74"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3">
        <w:r>
          <w:rPr>
            <w:rStyle w:val="Hyperlink"/>
          </w:rPr>
          <w:t xml:space="preserve">arxiv.org/abs/2405.00332</w:t>
        </w:r>
      </w:hyperlink>
      <w:bookmarkEnd w:id="74"/>
    </w:p>
    <w:p>
      <w:pPr>
        <w:pStyle w:val="ReferenceEntry"/>
        <w:numPr>
          <w:ilvl w:val="0"/>
          <w:numId w:val="1002"/>
        </w:numPr>
        <w:jc w:val="left"/>
        <w:keepNext w:val="0"/>
        <w:keepLines w:val="0"/>
        <w:widowControl w:val="1"/>
      </w:pPr>
      <w:bookmarkStart w:id="76" w:name="r13"/>
      <w:r>
        <w:t xml:space="preserve">Xu, C., et al. (2025).</w:t>
      </w:r>
      <w:r>
        <w:t xml:space="preserve"> </w:t>
      </w:r>
      <w:r>
        <w:rPr>
          <w:i/>
          <w:iCs/>
        </w:rPr>
        <w:t xml:space="preserve">Benchmark Data Contamination of Large Language Models: A Survey.</w:t>
      </w:r>
      <w:r>
        <w:t xml:space="preserve"> </w:t>
      </w:r>
      <w:hyperlink r:id="rId75">
        <w:r>
          <w:rPr>
            <w:rStyle w:val="Hyperlink"/>
          </w:rPr>
          <w:t xml:space="preserve">arxiv.org/abs/2502.14425</w:t>
        </w:r>
      </w:hyperlink>
      <w:bookmarkEnd w:id="76"/>
    </w:p>
    <w:p>
      <w:pPr>
        <w:pStyle w:val="ReferenceEntry"/>
        <w:numPr>
          <w:ilvl w:val="0"/>
          <w:numId w:val="1002"/>
        </w:numPr>
        <w:jc w:val="left"/>
        <w:keepNext w:val="0"/>
        <w:keepLines w:val="0"/>
        <w:widowControl w:val="1"/>
      </w:pPr>
      <w:bookmarkStart w:id="78"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7">
        <w:r>
          <w:rPr>
            <w:rStyle w:val="Hyperlink"/>
          </w:rPr>
          <w:t xml:space="preserve">arxiv.org/abs/2104.14337</w:t>
        </w:r>
      </w:hyperlink>
      <w:bookmarkEnd w:id="78"/>
    </w:p>
    <w:p>
      <w:pPr>
        <w:pStyle w:val="ReferenceEntry"/>
        <w:numPr>
          <w:ilvl w:val="0"/>
          <w:numId w:val="1002"/>
        </w:numPr>
        <w:jc w:val="left"/>
        <w:keepNext w:val="0"/>
        <w:keepLines w:val="0"/>
        <w:widowControl w:val="1"/>
      </w:pPr>
      <w:bookmarkStart w:id="80"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9">
        <w:r>
          <w:rPr>
            <w:rStyle w:val="Hyperlink"/>
          </w:rPr>
          <w:t xml:space="preserve">arxiv.org/abs/2502.01534</w:t>
        </w:r>
      </w:hyperlink>
      <w:bookmarkEnd w:id="80"/>
    </w:p>
    <w:p>
      <w:pPr>
        <w:pStyle w:val="ReferenceEntry"/>
        <w:numPr>
          <w:ilvl w:val="0"/>
          <w:numId w:val="1002"/>
        </w:numPr>
        <w:jc w:val="left"/>
        <w:keepNext w:val="0"/>
        <w:keepLines w:val="0"/>
        <w:widowControl w:val="1"/>
      </w:pPr>
      <w:bookmarkStart w:id="82"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1">
        <w:r>
          <w:rPr>
            <w:rStyle w:val="Hyperlink"/>
          </w:rPr>
          <w:t xml:space="preserve">arxiv.org/abs/2508.06709</w:t>
        </w:r>
      </w:hyperlink>
      <w:bookmarkEnd w:id="82"/>
    </w:p>
    <w:p>
      <w:pPr>
        <w:pStyle w:val="ReferenceEntry"/>
        <w:numPr>
          <w:ilvl w:val="0"/>
          <w:numId w:val="1002"/>
        </w:numPr>
        <w:jc w:val="left"/>
        <w:keepNext w:val="0"/>
        <w:keepLines w:val="0"/>
        <w:widowControl w:val="1"/>
      </w:pPr>
      <w:bookmarkStart w:id="84"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3">
        <w:r>
          <w:rPr>
            <w:rStyle w:val="Hyperlink"/>
          </w:rPr>
          <w:t xml:space="preserve">arxiv.org/abs/2410.02736</w:t>
        </w:r>
      </w:hyperlink>
      <w:bookmarkEnd w:id="84"/>
    </w:p>
    <w:p>
      <w:pPr>
        <w:pStyle w:val="ReferenceEntry"/>
        <w:numPr>
          <w:ilvl w:val="0"/>
          <w:numId w:val="1002"/>
        </w:numPr>
        <w:jc w:val="left"/>
        <w:keepNext w:val="0"/>
        <w:keepLines w:val="0"/>
        <w:widowControl w:val="1"/>
      </w:pPr>
      <w:bookmarkStart w:id="86" w:name="r18"/>
      <w:r>
        <w:t xml:space="preserve">Wataoka, K., Takahashi, T., Ri, R. (2024).</w:t>
      </w:r>
      <w:r>
        <w:t xml:space="preserve"> </w:t>
      </w:r>
      <w:r>
        <w:rPr>
          <w:i/>
          <w:iCs/>
        </w:rPr>
        <w:t xml:space="preserve">Self-Preference Bias in LLM-as-a-Judge.</w:t>
      </w:r>
      <w:r>
        <w:t xml:space="preserve"> </w:t>
      </w:r>
      <w:hyperlink r:id="rId85">
        <w:r>
          <w:rPr>
            <w:rStyle w:val="Hyperlink"/>
          </w:rPr>
          <w:t xml:space="preserve">arxiv.org/abs/2410.21819</w:t>
        </w:r>
      </w:hyperlink>
      <w:bookmarkEnd w:id="86"/>
    </w:p>
    <w:p>
      <w:pPr>
        <w:pStyle w:val="ReferenceEntry"/>
        <w:numPr>
          <w:ilvl w:val="0"/>
          <w:numId w:val="1002"/>
        </w:numPr>
        <w:jc w:val="left"/>
        <w:keepNext w:val="0"/>
        <w:keepLines w:val="0"/>
        <w:widowControl w:val="1"/>
      </w:pPr>
      <w:bookmarkStart w:id="88" w:name="r19"/>
      <w:r>
        <w:t xml:space="preserve">Gu, J., Jiang, X., Shi, Z., et al. (2024).</w:t>
      </w:r>
      <w:r>
        <w:t xml:space="preserve"> </w:t>
      </w:r>
      <w:r>
        <w:rPr>
          <w:i/>
          <w:iCs/>
        </w:rPr>
        <w:t xml:space="preserve">A Survey on LLM-as-a-Judge.</w:t>
      </w:r>
      <w:r>
        <w:t xml:space="preserve"> </w:t>
      </w:r>
      <w:hyperlink r:id="rId87">
        <w:r>
          <w:rPr>
            <w:rStyle w:val="Hyperlink"/>
          </w:rPr>
          <w:t xml:space="preserve">arxiv.org/abs/2411.15594</w:t>
        </w:r>
      </w:hyperlink>
      <w:bookmarkEnd w:id="88"/>
    </w:p>
    <w:p>
      <w:pPr>
        <w:pStyle w:val="ReferenceEntry"/>
        <w:numPr>
          <w:ilvl w:val="0"/>
          <w:numId w:val="1002"/>
        </w:numPr>
        <w:jc w:val="left"/>
        <w:keepNext w:val="0"/>
        <w:keepLines w:val="0"/>
        <w:widowControl w:val="1"/>
      </w:pPr>
      <w:bookmarkStart w:id="90"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9">
        <w:r>
          <w:rPr>
            <w:rStyle w:val="Hyperlink"/>
          </w:rPr>
          <w:t xml:space="preserve">arxiv.org/abs/2411.16594</w:t>
        </w:r>
      </w:hyperlink>
      <w:bookmarkEnd w:id="90"/>
    </w:p>
    <w:p>
      <w:pPr>
        <w:pStyle w:val="ReferenceEntry"/>
        <w:numPr>
          <w:ilvl w:val="0"/>
          <w:numId w:val="1002"/>
        </w:numPr>
        <w:jc w:val="left"/>
        <w:keepNext w:val="0"/>
        <w:keepLines w:val="0"/>
        <w:widowControl w:val="1"/>
      </w:pPr>
      <w:bookmarkStart w:id="92"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1">
        <w:r>
          <w:rPr>
            <w:rStyle w:val="Hyperlink"/>
          </w:rPr>
          <w:t xml:space="preserve">arxiv.org/abs/2308.07201</w:t>
        </w:r>
      </w:hyperlink>
      <w:bookmarkEnd w:id="92"/>
    </w:p>
    <w:p>
      <w:pPr>
        <w:pStyle w:val="ReferenceEntry"/>
        <w:numPr>
          <w:ilvl w:val="0"/>
          <w:numId w:val="1002"/>
        </w:numPr>
        <w:jc w:val="left"/>
        <w:keepNext w:val="0"/>
        <w:keepLines w:val="0"/>
        <w:widowControl w:val="1"/>
      </w:pPr>
      <w:bookmarkStart w:id="94"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3">
        <w:r>
          <w:rPr>
            <w:rStyle w:val="Hyperlink"/>
          </w:rPr>
          <w:t xml:space="preserve">arxiv.org/abs/2406.19314</w:t>
        </w:r>
      </w:hyperlink>
      <w:bookmarkEnd w:id="94"/>
    </w:p>
    <w:p>
      <w:pPr>
        <w:pStyle w:val="ReferenceEntry"/>
        <w:numPr>
          <w:ilvl w:val="0"/>
          <w:numId w:val="1002"/>
        </w:numPr>
        <w:jc w:val="left"/>
        <w:keepNext w:val="0"/>
        <w:keepLines w:val="0"/>
        <w:widowControl w:val="1"/>
      </w:pPr>
      <w:bookmarkStart w:id="96"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5">
        <w:r>
          <w:rPr>
            <w:rStyle w:val="Hyperlink"/>
          </w:rPr>
          <w:t xml:space="preserve">arxiv.org/abs/2403.07974</w:t>
        </w:r>
      </w:hyperlink>
      <w:bookmarkEnd w:id="96"/>
    </w:p>
    <w:p>
      <w:pPr>
        <w:pStyle w:val="ReferenceEntry"/>
        <w:numPr>
          <w:ilvl w:val="0"/>
          <w:numId w:val="1002"/>
        </w:numPr>
        <w:jc w:val="left"/>
        <w:keepNext w:val="0"/>
        <w:keepLines w:val="0"/>
        <w:widowControl w:val="1"/>
      </w:pPr>
      <w:bookmarkStart w:id="98"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7">
        <w:r>
          <w:rPr>
            <w:rStyle w:val="Hyperlink"/>
          </w:rPr>
          <w:t xml:space="preserve">arxiv.org/abs/2504.03846</w:t>
        </w:r>
      </w:hyperlink>
      <w:bookmarkEnd w:id="98"/>
    </w:p>
    <w:p>
      <w:pPr>
        <w:pStyle w:val="ReferenceEntry"/>
        <w:numPr>
          <w:ilvl w:val="0"/>
          <w:numId w:val="1002"/>
        </w:numPr>
        <w:jc w:val="left"/>
        <w:keepNext w:val="0"/>
        <w:keepLines w:val="0"/>
        <w:widowControl w:val="1"/>
      </w:pPr>
      <w:bookmarkStart w:id="100"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9">
        <w:r>
          <w:rPr>
            <w:rStyle w:val="Hyperlink"/>
          </w:rPr>
          <w:t xml:space="preserve">arxiv.org/abs/2408.08808</w:t>
        </w:r>
      </w:hyperlink>
      <w:bookmarkEnd w:id="100"/>
    </w:p>
    <w:p>
      <w:pPr>
        <w:pStyle w:val="ReferenceEntry"/>
        <w:numPr>
          <w:ilvl w:val="0"/>
          <w:numId w:val="1002"/>
        </w:numPr>
        <w:jc w:val="left"/>
        <w:keepNext w:val="0"/>
        <w:keepLines w:val="0"/>
        <w:widowControl w:val="1"/>
      </w:pPr>
      <w:bookmarkStart w:id="102" w:name="r26"/>
      <w:r>
        <w:t xml:space="preserve">Li, Y., et al. (2025).</w:t>
      </w:r>
      <w:r>
        <w:t xml:space="preserve"> </w:t>
      </w:r>
      <w:r>
        <w:rPr>
          <w:i/>
          <w:iCs/>
        </w:rPr>
        <w:t xml:space="preserve">Leveraging LLMs as Meta-Judges: A Multi-Agent Framework.</w:t>
      </w:r>
      <w:r>
        <w:t xml:space="preserve"> </w:t>
      </w:r>
      <w:hyperlink r:id="rId101">
        <w:r>
          <w:rPr>
            <w:rStyle w:val="Hyperlink"/>
          </w:rPr>
          <w:t xml:space="preserve">arxiv.org/abs/2504.17087</w:t>
        </w:r>
      </w:hyperlink>
      <w:bookmarkEnd w:id="102"/>
    </w:p>
    <w:p>
      <w:pPr>
        <w:pStyle w:val="ReferenceEntry"/>
        <w:jc w:val="left"/>
        <w:keepNext w:val="0"/>
        <w:keepLines w:val="0"/>
        <w:widowControl w:val="1"/>
      </w:pPr>
      <w:r>
        <w:t xml:space="preserve">Preprint. Generated HTML build. © 2026 Alexander Apartsin &amp; Yehudit Aperstein.</w:t>
      </w:r>
    </w:p>
    <w:bookmarkEnd w:id="103"/>
    <w:bookmarkStart w:id="119"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jc w:val="center"/>
        <w:keepNext/>
        <w:keepLines/>
        <w:widowControl w:val="1"/>
      </w:pPr>
      <w:r>
        <w:drawing>
          <wp:inline>
            <wp:extent cx="5943600" cy="6605886"/>
            <wp:effectExtent b="0" l="0" r="0" t="0"/>
            <wp:docPr descr="CoEval summary dashboard" title="" id="105" name="Picture"/>
            <a:graphic>
              <a:graphicData uri="http://schemas.openxmlformats.org/drawingml/2006/picture">
                <pic:pic>
                  <pic:nvPicPr>
                    <pic:cNvPr descr="figures/gallery_fig_summary.png" id="106" name="Picture"/>
                    <pic:cNvPicPr>
                      <a:picLocks noChangeArrowheads="1" noChangeAspect="1"/>
                    </pic:cNvPicPr>
                  </pic:nvPicPr>
                  <pic:blipFill>
                    <a:blip r:embed="rId104"/>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jc w:val="center"/>
        <w:keepNext/>
        <w:keepLines/>
        <w:widowControl w:val="1"/>
      </w:pPr>
      <w:r>
        <w:drawing>
          <wp:inline>
            <wp:extent cx="5943600" cy="7225719"/>
            <wp:effectExtent b="0" l="0" r="0" t="0"/>
            <wp:docPr descr="Judge agreement and reliability report" title="" id="108" name="Picture"/>
            <a:graphic>
              <a:graphicData uri="http://schemas.openxmlformats.org/drawingml/2006/picture">
                <pic:pic>
                  <pic:nvPicPr>
                    <pic:cNvPr descr="figures/gallery_fig_judge_report.png" id="109" name="Picture"/>
                    <pic:cNvPicPr>
                      <a:picLocks noChangeArrowheads="1" noChangeAspect="1"/>
                    </pic:cNvPicPr>
                  </pic:nvPicPr>
                  <pic:blipFill>
                    <a:blip r:embed="rId107"/>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jc w:val="center"/>
        <w:keepNext/>
        <w:keepLines/>
        <w:widowControl w:val="1"/>
      </w:pPr>
      <w:r>
        <w:drawing>
          <wp:inline>
            <wp:extent cx="5943600" cy="9229561"/>
            <wp:effectExtent b="0" l="0" r="0" t="0"/>
            <wp:docPr descr="Attribute coverage summary report" title="" id="111" name="Picture"/>
            <a:graphic>
              <a:graphicData uri="http://schemas.openxmlformats.org/drawingml/2006/picture">
                <pic:pic>
                  <pic:nvPicPr>
                    <pic:cNvPr descr="figures/gallery_fig_coverage_summary.png" id="112" name="Picture"/>
                    <pic:cNvPicPr>
                      <a:picLocks noChangeArrowheads="1" noChangeAspect="1"/>
                    </pic:cNvPicPr>
                  </pic:nvPicPr>
                  <pic:blipFill>
                    <a:blip r:embed="rId110"/>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jc w:val="center"/>
        <w:keepNext/>
        <w:keepLines/>
        <w:widowControl w:val="1"/>
      </w:pPr>
      <w:r>
        <w:drawing>
          <wp:inline>
            <wp:extent cx="5943600" cy="10974432"/>
            <wp:effectExtent b="0" l="0" r="0" t="0"/>
            <wp:docPr descr="Score distribution report" title="" id="114" name="Picture"/>
            <a:graphic>
              <a:graphicData uri="http://schemas.openxmlformats.org/drawingml/2006/picture">
                <pic:pic>
                  <pic:nvPicPr>
                    <pic:cNvPr descr="figures/gallery_fig_score_distribution.png" id="115" name="Picture"/>
                    <pic:cNvPicPr>
                      <a:picLocks noChangeArrowheads="1" noChangeAspect="1"/>
                    </pic:cNvPicPr>
                  </pic:nvPicPr>
                  <pic:blipFill>
                    <a:blip r:embed="rId113"/>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jc w:val="center"/>
        <w:keepNext/>
        <w:keepLines/>
        <w:widowControl w:val="1"/>
      </w:pPr>
      <w:r>
        <w:drawing>
          <wp:inline>
            <wp:extent cx="5943600" cy="7824324"/>
            <wp:effectExtent b="0" l="0" r="0" t="0"/>
            <wp:docPr descr="Teacher-student interaction matrix" title="" id="117" name="Picture"/>
            <a:graphic>
              <a:graphicData uri="http://schemas.openxmlformats.org/drawingml/2006/picture">
                <pic:pic>
                  <pic:nvPicPr>
                    <pic:cNvPr descr="figures/gallery_fig_interaction_matrix.png" id="118" name="Picture"/>
                    <pic:cNvPicPr>
                      <a:picLocks noChangeArrowheads="1" noChangeAspect="1"/>
                    </pic:cNvPicPr>
                  </pic:nvPicPr>
                  <pic:blipFill>
                    <a:blip r:embed="rId116"/>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9"/>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9" Type="http://schemas.openxmlformats.org/officeDocument/2006/relationships/image" Target="media/rId29.png"/><Relationship Id="rId33" Type="http://schemas.openxmlformats.org/officeDocument/2006/relationships/image" Target="media/rId33.png"/><Relationship Id="rId25" Type="http://schemas.openxmlformats.org/officeDocument/2006/relationships/image" Target="media/rId25.png"/><Relationship Id="rId38" Type="http://schemas.openxmlformats.org/officeDocument/2006/relationships/image" Target="media/rId38.png"/><Relationship Id="rId43" Type="http://schemas.openxmlformats.org/officeDocument/2006/relationships/image" Target="media/rId43.png"/><Relationship Id="rId110" Type="http://schemas.openxmlformats.org/officeDocument/2006/relationships/image" Target="media/rId110.png"/><Relationship Id="rId116" Type="http://schemas.openxmlformats.org/officeDocument/2006/relationships/image" Target="media/rId116.png"/><Relationship Id="rId107" Type="http://schemas.openxmlformats.org/officeDocument/2006/relationships/image" Target="media/rId107.png"/><Relationship Id="rId113" Type="http://schemas.openxmlformats.org/officeDocument/2006/relationships/image" Target="media/rId113.png"/><Relationship Id="rId104" Type="http://schemas.openxmlformats.org/officeDocument/2006/relationships/image" Target="media/rId104.png"/><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2026-06-01T08:54:13Z</dcterms:created>
  <dcterms:modified xsi:type="dcterms:W3CDTF">2026-06-01T08:54:13Z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