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5040"/>
        <w:gridCol w:w="5040"/>
      </w:tblGrid>
      <w:tr>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Alexander Apartsin</w:t>
            </w:r>
          </w:p>
        </w:tc>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Yehudit Aperstein</w:t>
            </w:r>
          </w:p>
        </w:tc>
      </w:tr>
      <w:tr>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Holon Institute of Technology, Israel</w:t>
            </w:r>
          </w:p>
        </w:tc>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2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(seven models</w:t>
      </w:r>
      <w:r>
        <w:t xml:space="preserve"> </w:t>
      </w:r>
      <w:r>
        <w:t xml:space="preserve">ranked on science QA and reasoning), it improves rank-recovery of the true model ordering from the plain mean's</w:t>
      </w:r>
      <w:r>
        <w:t xml:space="preserve"> </w:t>
      </w:r>
      <w:r>
        <w:t xml:space="preserve">Spearman</w:t>
      </w:r>
      <w:r>
        <w:t xml:space="preserve"> </w:t>
      </w:r>
      <m:oMath>
        <m:r>
          <m:t>0.87</m:t>
        </m:r>
      </m:oMath>
      <w:r>
        <w:t xml:space="preserve"> </w:t>
      </w:r>
      <w:r>
        <w:t xml:space="preserve">(Kendall</w:t>
      </w:r>
      <w:r>
        <w:t xml:space="preserve"> </w:t>
      </w:r>
      <m:oMath>
        <m:r>
          <m:t>0.75</m:t>
        </m:r>
      </m:oMath>
      <w:r>
        <w:t xml:space="preserve">) to</w:t>
      </w:r>
      <w:r>
        <w:t xml:space="preserve"> </w:t>
      </w:r>
      <m:oMath>
        <m:r>
          <m:t>0.98</m:t>
        </m:r>
      </m:oMath>
      <w:r>
        <w:t xml:space="preserve"> </w:t>
      </w:r>
      <w:r>
        <w:t xml:space="preserve">(Kendall</w:t>
      </w:r>
      <w:r>
        <w:t xml:space="preserve"> </w:t>
      </w:r>
      <m:oMath>
        <m:r>
          <m:t>0.95</m:t>
        </m:r>
      </m:oMath>
      <w:r>
        <w:t xml:space="preserve">), mostly by down-weighting saturated items</w:t>
      </w:r>
      <w:r>
        <w:t xml:space="preserve"> </w:t>
      </w:r>
      <w:r>
        <w:t xml:space="preserve">that carry no ranking signal (the top tenth of items by discrimination hold over half the weight), and it is robust:</w:t>
      </w:r>
      <w:r>
        <w:t xml:space="preserve"> </w:t>
      </w:r>
      <w:r>
        <w:t xml:space="preserve">injecting a random judge leaves the recovered ranking at</w:t>
      </w:r>
      <w:r>
        <w:t xml:space="preserve"> </w:t>
      </w:r>
      <m:oMath>
        <m:r>
          <m:t>0.98</m:t>
        </m:r>
      </m:oMath>
      <w:r>
        <w:t xml:space="preserve">, the rogue judge receiving weight</w:t>
      </w:r>
      <w:r>
        <w:t xml:space="preserve"> </w:t>
      </w:r>
      <m:oMath>
        <m:r>
          <m:t>0.06</m:t>
        </m:r>
      </m:oMath>
      <w:r>
        <w:t xml:space="preserve">. The two</w:t>
      </w:r>
      <w:r>
        <w:t xml:space="preserve"> </w:t>
      </w:r>
      <w:r>
        <w:t xml:space="preserve">weights are complementary, since on the discriminative items judge reliability matters most.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2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2"/>
    <w:bookmarkStart w:id="116" w:name="appC"/>
    <w:p>
      <w:pPr>
        <w:pStyle w:val="Heading2"/>
        <w:keepNext/>
        <w:keepLines/>
        <w:widowControl w:val="1"/>
      </w:pPr>
      <w:r>
        <w:t xml:space="preserve">Appendix C. Evaluation throughput</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6"/>
    <w:bookmarkStart w:id="117"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7"/>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2026-06-02T19:03:20Z</dcterms:created>
  <dcterms:modified xsi:type="dcterms:W3CDTF">2026-06-02T19:03:20Z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