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5040"/>
        <w:gridCol w:w="5040"/>
      </w:tblGrid>
      <w:tr>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Alexander Apartsin</w:t>
            </w:r>
          </w:p>
        </w:tc>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Yehudit Aperstein</w:t>
            </w:r>
          </w:p>
        </w:tc>
      </w:tr>
      <w:tr>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Holon Institute of Technology, Israel</w:t>
            </w:r>
          </w:p>
        </w:tc>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We evaluate both</w:t>
      </w:r>
      <w:r>
        <w:t xml:space="preserve"> </w:t>
      </w:r>
      <w:r>
        <w:t xml:space="preserve">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2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2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2"/>
    <w:bookmarkStart w:id="107"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bookmarkEnd w:id="107"/>
    <w:bookmarkStart w:id="108"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08"/>
    <w:bookmarkStart w:id="112"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736336" cy="4998720"/>
            <wp:effectExtent b="0" l="0" r="0" t="0"/>
            <wp:docPr descr="Heatmap of pairwise semantic similarity between auto-generated rubric criteria" title="" id="110" name="Picture"/>
            <a:graphic>
              <a:graphicData uri="http://schemas.openxmlformats.org/drawingml/2006/picture">
                <pic:pic>
                  <pic:nvPicPr>
                    <pic:cNvPr descr="figures/f5_rubric_heatmap.png" id="111" name="Picture"/>
                    <pic:cNvPicPr>
                      <a:picLocks noChangeArrowheads="1" noChangeAspect="1"/>
                    </pic:cNvPicPr>
                  </pic:nvPicPr>
                  <pic:blipFill>
                    <a:blip r:embed="rId109"/>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2"/>
    <w:bookmarkStart w:id="116" w:name="appC"/>
    <w:p>
      <w:pPr>
        <w:pStyle w:val="Heading2"/>
        <w:keepNext/>
        <w:keepLines/>
        <w:widowControl w:val="1"/>
      </w:pPr>
      <w:r>
        <w:t xml:space="preserve">Appendix C. Evaluation throughput</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4" name="Picture"/>
            <a:graphic>
              <a:graphicData uri="http://schemas.openxmlformats.org/drawingml/2006/picture">
                <pic:pic>
                  <pic:nvPicPr>
                    <pic:cNvPr descr="figures/f6_cost.png" id="115" name="Picture"/>
                    <pic:cNvPicPr>
                      <a:picLocks noChangeArrowheads="1" noChangeAspect="1"/>
                    </pic:cNvPicPr>
                  </pic:nvPicPr>
                  <pic:blipFill>
                    <a:blip r:embed="rId11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6"/>
    <w:bookmarkStart w:id="117"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7"/>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09" Type="http://schemas.openxmlformats.org/officeDocument/2006/relationships/image" Target="media/rId109.png"/><Relationship Id="rId113" Type="http://schemas.openxmlformats.org/officeDocument/2006/relationships/image" Target="media/rId113.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2026-06-02T18:39:11Z</dcterms:created>
  <dcterms:modified xsi:type="dcterms:W3CDTF">2026-06-02T18:39:11Z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