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cb93c1972691cb1b713aea11849a21362af4bd5"/>
    <w:p>
      <w:pPr>
        <w:pStyle w:val="Title"/>
        <w:spacing w:before="0" w:after="160"/>
        <w:jc w:val="center"/>
        <w:keepNext/>
        <w:keepLines/>
        <w:widowControl w:val="1"/>
      </w:pPr>
      <w:r>
        <w:t xml:space="preserve">CoEval: Composition Over Size — Cross-Family Judge Ensembles</w:t>
      </w:r>
      <w:r>
        <w:br/>
      </w:r>
      <w:r>
        <w:t xml:space="preserve">for Self-Generating, Contamination-Resistant LLM Evaluation</w:t>
      </w:r>
    </w:p>
    <w:p>
      <w:pPr>
        <w:pStyle w:val="Subtitle"/>
        <w:spacing w:before="0" w:after="40"/>
        <w:jc w:val="center"/>
        <w:keepNext/>
        <w:keepLines/>
        <w:widowControl w:val="1"/>
      </w:pPr>
      <w:r>
        <w:t xml:space="preserve">Alexander Apartsin</w:t>
      </w:r>
    </w:p>
    <w:p>
      <w:pPr>
        <w:pStyle w:val="Subtitle"/>
        <w:spacing w:before="0" w:after="160"/>
        <w:jc w:val="center"/>
        <w:keepNext w:val="0"/>
        <w:keepLines/>
        <w:widowControl w:val="1"/>
      </w:pPr>
      <w:r>
        <w:rPr>
          <w:sz w:val="20"/>
        </w:rPr>
        <w:t xml:space="preserve">Holon Institute of Technology, Israel</w:t>
      </w:r>
    </w:p>
    <w:p>
      <w:pPr>
        <w:pStyle w:val="BodyText"/>
        <w:jc w:val="both"/>
        <w:keepNext w:val="0"/>
        <w:keepLines w:val="0"/>
        <w:widowControl w:val="1"/>
      </w:pPr>
      <w:r>
        <w:t xml:space="preserve">Yehudit Aperstein</w:t>
      </w:r>
    </w:p>
    <w:p>
      <w:pPr>
        <w:pStyle w:val="BodyText"/>
        <w:jc w:val="both"/>
        <w:keepNext w:val="0"/>
        <w:keepLines w:val="0"/>
        <w:widowControl w:val="1"/>
      </w:pPr>
      <w: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jc w:val="both"/>
        <w:keepNext w:val="0"/>
        <w:keepLines w:val="0"/>
        <w:widowControl w:val="1"/>
      </w:pPr>
      <w:r>
        <w:t xml:space="preserve">The standard remedy for a biased LLM judge is to add more judges. We show this intuition is incomplete: judge-panel</w:t>
      </w:r>
      <w:r>
        <w:t xml:space="preserve"> </w:t>
      </w:r>
      <w:r>
        <w:rPr>
          <w:i/>
          <w:iCs/>
        </w:rPr>
        <w:t xml:space="preserve">composition</w:t>
      </w:r>
      <w:r>
        <w:t xml:space="preserve">—diversity across vendor families—rather than panel</w:t>
      </w:r>
      <w:r>
        <w:t xml:space="preserve"> </w:t>
      </w:r>
      <w:r>
        <w:rPr>
          <w:i/>
          <w:iCs/>
        </w:rPr>
        <w:t xml:space="preserve">size</w:t>
      </w:r>
      <w:r>
        <w:t xml:space="preserve"> </w:t>
      </w:r>
      <w:r>
        <w:t xml:space="preserve">determines</w:t>
      </w:r>
      <w:r>
        <w:t xml:space="preserve"> </w:t>
      </w:r>
      <w:r>
        <w:t xml:space="preserve">reliability, and indiscriminately enlarging a panel can</w:t>
      </w:r>
      <w:r>
        <w:t xml:space="preserve"> </w:t>
      </w:r>
      <w:r>
        <w:rPr>
          <w:i/>
          <w:iCs/>
        </w:rPr>
        <w:t xml:space="preserve">reduce</w:t>
      </w:r>
      <w:r>
        <w:t xml:space="preserve"> </w:t>
      </w:r>
      <w:r>
        <w:t xml:space="preserve">it (inter-rater reliability peaks at two</w:t>
      </w:r>
      <w:r>
        <w:t xml:space="preserve"> </w:t>
      </w:r>
      <w:r>
        <w:t xml:space="preserve">well-chosen judges and falls as low-agreement judges are added, exactly matching the Spearman–Brown relation).</w:t>
      </w:r>
      <w:r>
        <w:t xml:space="preserve"> </w:t>
      </w:r>
      <w:r>
        <w:t xml:space="preserve">We present</w:t>
      </w:r>
      <w:r>
        <w:t xml:space="preserve"> </w:t>
      </w:r>
      <w:r>
        <w:rPr>
          <w:b/>
          <w:bCs/>
        </w:rPr>
        <w:t xml:space="preserve">CoEval</w:t>
      </w:r>
      <w:r>
        <w:t xml:space="preserve">, a declarative, open-source framework that turns this insight into a practical</w:t>
      </w:r>
      <w:r>
        <w:t xml:space="preserve"> </w:t>
      </w:r>
      <w:r>
        <w:t xml:space="preserve">evaluator and pairs it with self-generated, contamination-resistant benchmarks. CoEval separates evaluation into</w:t>
      </w:r>
      <w:r>
        <w:t xml:space="preserve"> </w:t>
      </w:r>
      <w:r>
        <w:t xml:space="preserve">three roles —</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w:t>
      </w:r>
      <w:r>
        <w:t xml:space="preserve">— using the teacher to synthesize</w:t>
      </w:r>
      <w:r>
        <w:t xml:space="preserve"> </w:t>
      </w:r>
      <w:r>
        <w:t xml:space="preserve">attribute-stratified, freshly generated domain benchmarks (so items cannot have leaked into a student's training),</w:t>
      </w:r>
      <w:r>
        <w:t xml:space="preserve"> </w:t>
      </w:r>
      <w:r>
        <w:t xml:space="preserve">then scoring responses with a</w:t>
      </w:r>
      <w:r>
        <w:t xml:space="preserve"> </w:t>
      </w:r>
      <w:r>
        <w:rPr>
          <w:i/>
          <w:iCs/>
        </w:rPr>
        <w:t xml:space="preserve">cross-family judge ensemble</w:t>
      </w:r>
      <w:r>
        <w:t xml:space="preserve"> </w:t>
      </w:r>
      <w:r>
        <w:t xml:space="preserve">whose vendor diversity cancels individual-judge</w:t>
      </w:r>
      <w:r>
        <w:t xml:space="preserve"> </w:t>
      </w:r>
      <w:r>
        <w:t xml:space="preserve">biases. Across a four-task medium-scale</w:t>
      </w:r>
      <w:r>
        <w:t xml:space="preserve"> </w:t>
      </w:r>
      <w:r>
        <w:t xml:space="preserve">study, CoEval produced 7,978 valid evaluations at a total cost of USD 5.89 with no human annotation. We show that the</w:t>
      </w:r>
      <w:r>
        <w:t xml:space="preserve"> </w:t>
      </w:r>
      <w:r>
        <w:t xml:space="preserve">ensemble removes a verbosity bias that no single judge avoids (mean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with a bootstrap CI spanning zero, a 93% reduction) and structurally precludes same-family</w:t>
      </w:r>
      <w:r>
        <w:t xml:space="preserve"> </w:t>
      </w:r>
      <w:r>
        <w:t xml:space="preserve">self-preference, while producing task-specialized rubrics that share a universal quality core. On objective</w:t>
      </w:r>
      <w:r>
        <w:t xml:space="preserve"> </w:t>
      </w:r>
      <w:r>
        <w:t xml:space="preserve">exact-match QA the frontier cross-family ensemble tracks ground-truth correctness at</w:t>
      </w:r>
      <w:r>
        <w:t xml:space="preserve"> </w:t>
      </w:r>
      <m:oMath>
        <m:r>
          <m:t>ρ</m:t>
        </m:r>
        <m:r>
          <m:rPr>
            <m:sty m:val="p"/>
          </m:rPr>
          <m:t>=</m:t>
        </m:r>
        <m:r>
          <m:t>0.86</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 with vendor-independent agreement. Our central finding is that for judge</w:t>
      </w:r>
      <w:r>
        <w:t xml:space="preserve"> </w:t>
      </w:r>
      <w:r>
        <w:t xml:space="preserve">ensembles,</w:t>
      </w:r>
      <w:r>
        <w:t xml:space="preserve"> </w:t>
      </w:r>
      <w:r>
        <w:rPr>
          <w:i/>
          <w:iCs/>
        </w:rPr>
        <w:t xml:space="preserve">composition</w:t>
      </w:r>
      <w:r>
        <w:t xml:space="preserve"> </w:t>
      </w:r>
      <w:r>
        <w:t xml:space="preserve">— cross-family vendor diversity, evidenced by a non-monotone reliability curve</w:t>
      </w:r>
      <w:r>
        <w:t xml:space="preserve"> </w:t>
      </w:r>
      <w:r>
        <w:t xml:space="preserve">in which adding low-agreement judges</w:t>
      </w:r>
      <w:r>
        <w:t xml:space="preserve"> </w:t>
      </w:r>
      <w:r>
        <w:rPr>
          <w:i/>
          <w:iCs/>
        </w:rPr>
        <w:t xml:space="preserve">reduces</w:t>
      </w:r>
      <w:r>
        <w:t xml:space="preserve"> </w:t>
      </w:r>
      <w:r>
        <w:t xml:space="preserve">inter-rater reliability — rather than panel size is the</w:t>
      </w:r>
      <w:r>
        <w:t xml:space="preserve"> </w:t>
      </w:r>
      <w:r>
        <w:t xml:space="preserve">decisive lever.</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w:t>
      </w:r>
      <w:r>
        <w:t xml:space="preserve"> </w:t>
      </w:r>
      <w:hyperlink w:anchor="r12">
        <w:r>
          <w:rPr>
            <w:rStyle w:val="Hyperlink"/>
            <w:vertAlign w:val="superscript"/>
          </w:rPr>
          <w:t xml:space="preserve">[12]</w:t>
        </w:r>
      </w:hyperlink>
      <w:hyperlink w:anchor="r13">
        <w:r>
          <w:rPr>
            <w:rStyle w:val="Hyperlink"/>
            <w:vertAlign w:val="superscript"/>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w:t>
      </w:r>
      <w:r>
        <w:t xml:space="preserve"> </w:t>
      </w:r>
      <w:hyperlink w:anchor="r1">
        <w:r>
          <w:rPr>
            <w:rStyle w:val="Hyperlink"/>
            <w:vertAlign w:val="superscript"/>
          </w:rPr>
          <w:t xml:space="preserve">[1]</w:t>
        </w:r>
      </w:hyperlink>
      <w:hyperlink w:anchor="r2">
        <w:r>
          <w:rPr>
            <w:rStyle w:val="Hyperlink"/>
            <w:vertAlign w:val="superscript"/>
          </w:rPr>
          <w:t xml:space="preserve">[2]</w:t>
        </w:r>
      </w:hyperlink>
      <w:r>
        <w:t xml:space="preserve"> </w:t>
      </w:r>
      <w:r>
        <w:t xml:space="preserve">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hyperlink w:anchor="r8">
        <w:r>
          <w:rPr>
            <w:rStyle w:val="Hyperlink"/>
            <w:vertAlign w:val="superscript"/>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 the rigidity of static benchmarks and the bias of single judges —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w:t>
      </w:r>
    </w:p>
    <w:p>
      <w:pPr>
        <w:pStyle w:val="Compact"/>
        <w:numPr>
          <w:ilvl w:val="0"/>
          <w:numId w:val="1001"/>
        </w:numPr>
        <w:jc w:val="both"/>
        <w:keepNext w:val="0"/>
        <w:keepLines w:val="0"/>
        <w:widowControl w:val="1"/>
      </w:pPr>
      <w:r>
        <w:rPr>
          <w:b/>
          <w:bCs/>
        </w:rPr>
        <w:t xml:space="preserve">(2) Composition over size in cross-family judge ensembles.</w:t>
      </w:r>
      <w:r>
        <w:t xml:space="preserve"> </w:t>
      </w:r>
      <w:r>
        <w:t xml:space="preserve">Responses are scored by judges drawn</w:t>
      </w:r>
      <w:r>
        <w:t xml:space="preserve"> </w:t>
      </w:r>
      <w:r>
        <w:t xml:space="preserve">from distinct model vendors. Our central finding is that</w:t>
      </w:r>
      <w:r>
        <w:t xml:space="preserve"> </w:t>
      </w:r>
      <w:r>
        <w:rPr>
          <w:i/>
          <w:iCs/>
        </w:rPr>
        <w:t xml:space="preserve">composition</w:t>
      </w:r>
      <w:r>
        <w:t xml:space="preserve"> </w:t>
      </w:r>
      <w:r>
        <w:t xml:space="preserve">(vendor diversity), not 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An open-source, declarative system.</w:t>
      </w:r>
      <w:r>
        <w:t xml:space="preserve"> </w:t>
      </w:r>
      <w:r>
        <w:t xml:space="preserve">The entire pipeline — generation, response</w:t>
      </w:r>
      <w:r>
        <w:t xml:space="preserve"> </w:t>
      </w:r>
      <w:r>
        <w:t xml:space="preserve">collection, judging, and analysis — is specified in a single YAML file and is fully reproducible.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and rubric generalization.</w:t>
      </w:r>
    </w:p>
    <w:bookmarkEnd w:id="11"/>
    <w:bookmarkStart w:id="14" w:name="related-work"/>
    <w:p>
      <w:pPr>
        <w:pStyle w:val="Heading2"/>
        <w:keepNext/>
        <w:keepLines/>
        <w:widowControl w:val="1"/>
      </w:pPr>
      <w:r>
        <w:t xml:space="preserve">2. Related Work</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w:t>
      </w:r>
      <w:r>
        <w:t xml:space="preserve"> </w:t>
      </w:r>
      <w:hyperlink w:anchor="r1">
        <w:r>
          <w:rPr>
            <w:rStyle w:val="Hyperlink"/>
            <w:vertAlign w:val="superscript"/>
          </w:rPr>
          <w:t xml:space="preserve">[1]</w:t>
        </w:r>
      </w:hyperlink>
      <w:r>
        <w:t xml:space="preserve"> </w:t>
      </w:r>
      <w:r>
        <w:t xml:space="preserve">established LLM-as-judge as a scalable proxy for human</w:t>
      </w:r>
      <w:r>
        <w:t xml:space="preserve"> </w:t>
      </w:r>
      <w:r>
        <w:t xml:space="preserve">preference, and documented its biases. G-Eval</w:t>
      </w:r>
      <w:r>
        <w:t xml:space="preserve"> </w:t>
      </w:r>
      <w:hyperlink w:anchor="r2">
        <w:r>
          <w:rPr>
            <w:rStyle w:val="Hyperlink"/>
            <w:vertAlign w:val="superscript"/>
          </w:rPr>
          <w:t xml:space="preserve">[2]</w:t>
        </w:r>
      </w:hyperlink>
      <w:r>
        <w:t xml:space="preserve"> </w:t>
      </w:r>
      <w:r>
        <w:t xml:space="preserve">uses a single strong model with</w:t>
      </w:r>
      <w:r>
        <w:t xml:space="preserve"> </w:t>
      </w:r>
      <w:r>
        <w:t xml:space="preserve">chain-of-thought to score generation quality against a user-supplied rubric, while Prometheus 2</w:t>
      </w:r>
      <w:r>
        <w:t xml:space="preserve"> </w:t>
      </w:r>
      <w:hyperlink w:anchor="r3">
        <w:r>
          <w:rPr>
            <w:rStyle w:val="Hyperlink"/>
            <w:vertAlign w:val="superscript"/>
          </w:rPr>
          <w:t xml:space="preserve">[3]</w:t>
        </w:r>
      </w:hyperlink>
      <w:r>
        <w:t xml:space="preserve"> </w:t>
      </w:r>
      <w:r>
        <w:t xml:space="preserve">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w:t>
      </w:r>
      <w:r>
        <w:t xml:space="preserve"> </w:t>
      </w:r>
      <w:hyperlink w:anchor="r4">
        <w:r>
          <w:rPr>
            <w:rStyle w:val="Hyperlink"/>
            <w:vertAlign w:val="superscript"/>
          </w:rPr>
          <w:t xml:space="preserve">[4]</w:t>
        </w:r>
      </w:hyperlink>
      <w:r>
        <w:t xml:space="preserve"> </w:t>
      </w:r>
      <w:r>
        <w:t xml:space="preserve">and JudgeBench</w:t>
      </w:r>
      <w:r>
        <w:t xml:space="preserve"> </w:t>
      </w:r>
      <w:hyperlink w:anchor="r6">
        <w:r>
          <w:rPr>
            <w:rStyle w:val="Hyperlink"/>
            <w:vertAlign w:val="superscript"/>
          </w:rPr>
          <w:t xml:space="preserve">[6]</w:t>
        </w:r>
      </w:hyperlink>
      <w:r>
        <w:t xml:space="preserve"> </w:t>
      </w:r>
      <w:r>
        <w:t xml:space="preserve">study the reliability of judge models, and BiGGen-Bench</w:t>
      </w:r>
      <w:r>
        <w:t xml:space="preserve"> </w:t>
      </w:r>
      <w:hyperlink w:anchor="r7">
        <w:r>
          <w:rPr>
            <w:rStyle w:val="Hyperlink"/>
            <w:vertAlign w:val="superscript"/>
          </w:rPr>
          <w:t xml:space="preserve">[7]</w:t>
        </w:r>
      </w:hyperlink>
      <w:r>
        <w:t xml:space="preserve"> </w:t>
      </w:r>
      <w:r>
        <w:t xml:space="preserve">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w:t>
      </w:r>
      <w:r>
        <w:t xml:space="preserve"> </w:t>
      </w:r>
      <w:hyperlink w:anchor="r5">
        <w:r>
          <w:rPr>
            <w:rStyle w:val="Hyperlink"/>
            <w:vertAlign w:val="superscript"/>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w:t>
      </w:r>
      <w:r>
        <w:t xml:space="preserve"> </w:t>
      </w:r>
      <w:hyperlink w:anchor="r21">
        <w:r>
          <w:rPr>
            <w:rStyle w:val="Hyperlink"/>
            <w:vertAlign w:val="superscript"/>
          </w:rPr>
          <w:t xml:space="preserve">[21]</w:t>
        </w:r>
      </w:hyperlink>
      <w:r>
        <w:t xml:space="preserve"> </w:t>
      </w:r>
      <w:r>
        <w:t xml:space="preserve">and</w:t>
      </w:r>
      <w:r>
        <w:t xml:space="preserve"> </w:t>
      </w:r>
      <w:r>
        <w:t xml:space="preserve">meta-judge frameworks</w:t>
      </w:r>
      <w:r>
        <w:t xml:space="preserve"> </w:t>
      </w:r>
      <w:hyperlink w:anchor="r26">
        <w:r>
          <w:rPr>
            <w:rStyle w:val="Hyperlink"/>
            <w:vertAlign w:val="superscript"/>
          </w:rPr>
          <w:t xml:space="preserve">[26]</w:t>
        </w:r>
      </w:hyperlink>
      <w:r>
        <w:t xml:space="preserve"> </w:t>
      </w:r>
      <w:r>
        <w:t xml:space="preserve">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hyperlink w:anchor="r15">
        <w:r>
          <w:rPr>
            <w:rStyle w:val="Hyperlink"/>
            <w:vertAlign w:val="superscript"/>
          </w:rPr>
          <w:t xml:space="preserve">[15]</w:t>
        </w:r>
      </w:hyperlink>
      <w:r>
        <w:t xml:space="preserve"> </w:t>
      </w:r>
      <w:r>
        <w:t xml:space="preserve">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hyperlink w:anchor="r16">
        <w:r>
          <w:rPr>
            <w:rStyle w:val="Hyperlink"/>
            <w:vertAlign w:val="superscript"/>
          </w:rPr>
          <w:t xml:space="preserve">[16]</w:t>
        </w:r>
      </w:hyperlink>
      <w:r>
        <w:t xml:space="preserve"> </w:t>
      </w:r>
      <w:r>
        <w:t xml:space="preserve">measures this same-family bias statistically, finding that frontier models favor</w:t>
      </w:r>
      <w:r>
        <w:t xml:space="preserve"> </w:t>
      </w:r>
      <w:r>
        <w:t xml:space="preserve">same-family outputs. Self-preference has been characterized mechanistically</w:t>
      </w:r>
      <w:r>
        <w:t xml:space="preserve"> </w:t>
      </w:r>
      <w:hyperlink w:anchor="r18">
        <w:r>
          <w:rPr>
            <w:rStyle w:val="Hyperlink"/>
            <w:vertAlign w:val="superscript"/>
          </w:rPr>
          <w:t xml:space="preserve">[18]</w:t>
        </w:r>
      </w:hyperlink>
      <w:r>
        <w:t xml:space="preserve"> </w:t>
      </w:r>
      <w:r>
        <w:t xml:space="preserve">and</w:t>
      </w:r>
      <w:r>
        <w:t xml:space="preserve"> </w:t>
      </w:r>
      <w:r>
        <w:t xml:space="preserve">partly attributed to legitimate capability rather than pure bias</w:t>
      </w:r>
      <w:r>
        <w:t xml:space="preserve"> </w:t>
      </w:r>
      <w:hyperlink w:anchor="r24">
        <w:r>
          <w:rPr>
            <w:rStyle w:val="Hyperlink"/>
            <w:vertAlign w:val="superscript"/>
          </w:rPr>
          <w:t xml:space="preserve">[24]</w:t>
        </w:r>
      </w:hyperlink>
      <w:r>
        <w:t xml:space="preserve">. Broad bias</w:t>
      </w:r>
      <w:r>
        <w:t xml:space="preserve"> </w:t>
      </w:r>
      <w:r>
        <w:t xml:space="preserve">taxonomies</w:t>
      </w:r>
      <w:r>
        <w:t xml:space="preserve"> </w:t>
      </w:r>
      <w:hyperlink w:anchor="r17">
        <w:r>
          <w:rPr>
            <w:rStyle w:val="Hyperlink"/>
            <w:vertAlign w:val="superscript"/>
          </w:rPr>
          <w:t xml:space="preserve">[17]</w:t>
        </w:r>
      </w:hyperlink>
      <w:r>
        <w:t xml:space="preserve"> </w:t>
      </w:r>
      <w:r>
        <w:t xml:space="preserve">and recent surveys</w:t>
      </w:r>
      <w:r>
        <w:t xml:space="preserve"> </w:t>
      </w:r>
      <w:hyperlink w:anchor="r19">
        <w:r>
          <w:rPr>
            <w:rStyle w:val="Hyperlink"/>
            <w:vertAlign w:val="superscript"/>
          </w:rPr>
          <w:t xml:space="preserve">[19]</w:t>
        </w:r>
      </w:hyperlink>
      <w:hyperlink w:anchor="r20">
        <w:r>
          <w:rPr>
            <w:rStyle w:val="Hyperlink"/>
            <w:vertAlign w:val="superscript"/>
          </w:rPr>
          <w:t xml:space="preserve">[20]</w:t>
        </w:r>
      </w:hyperlink>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level—and pairs it with</w:t>
      </w:r>
      <w:r>
        <w:t xml:space="preserve"> </w:t>
      </w:r>
      <w:r>
        <w:t xml:space="preserve">contamination-free item generation, so both items and judges are bias-hardened rather than only the scoring step.</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w:t>
      </w:r>
      <w:r>
        <w:t xml:space="preserve"> </w:t>
      </w:r>
      <w:hyperlink w:anchor="r9">
        <w:r>
          <w:rPr>
            <w:rStyle w:val="Hyperlink"/>
            <w:vertAlign w:val="superscript"/>
          </w:rPr>
          <w:t xml:space="preserve">[9]</w:t>
        </w:r>
      </w:hyperlink>
      <w:r>
        <w:t xml:space="preserve"> </w:t>
      </w:r>
      <w:r>
        <w:t xml:space="preserve">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w:t>
      </w:r>
      <w:r>
        <w:t xml:space="preserve"> </w:t>
      </w:r>
      <w:hyperlink w:anchor="r10">
        <w:r>
          <w:rPr>
            <w:rStyle w:val="Hyperlink"/>
            <w:vertAlign w:val="superscript"/>
          </w:rPr>
          <w:t xml:space="preserve">[10]</w:t>
        </w:r>
      </w:hyperlink>
      <w:r>
        <w:t xml:space="preserve"> </w:t>
      </w:r>
      <w:r>
        <w:t xml:space="preserve">and YourBench</w:t>
      </w:r>
      <w:r>
        <w:t xml:space="preserve"> </w:t>
      </w:r>
      <w:hyperlink w:anchor="r11">
        <w:r>
          <w:rPr>
            <w:rStyle w:val="Hyperlink"/>
            <w:vertAlign w:val="superscript"/>
          </w:rPr>
          <w:t xml:space="preserve">[11]</w:t>
        </w:r>
      </w:hyperlink>
      <w:r>
        <w:t xml:space="preserve"> </w:t>
      </w:r>
      <w:r>
        <w:t xml:space="preserve">likewise</w:t>
      </w:r>
      <w:r>
        <w:t xml:space="preserve"> </w:t>
      </w:r>
      <w:r>
        <w:t xml:space="preserve">automate benchmark construction; CoEval's distinguishing feature is attribute-</w:t>
      </w:r>
      <w:r>
        <w:rPr>
          <w:i/>
          <w:iCs/>
        </w:rPr>
        <w:t xml:space="preserve">stratified</w:t>
      </w:r>
      <w:r>
        <w:t xml:space="preserve"> </w:t>
      </w:r>
      <w:r>
        <w:t xml:space="preserve">coverage—the</w:t>
      </w:r>
      <w:r>
        <w:t xml:space="preserve"> </w:t>
      </w:r>
      <w:r>
        <w:t xml:space="preserve">sampler allocates a per-stratum floor of items to each declared attribute combination—coupled to bias-cancelled</w:t>
      </w:r>
      <w:r>
        <w:t xml:space="preserve"> </w:t>
      </w:r>
      <w:r>
        <w:t xml:space="preserve">scoring. The contamination motivation is sharpened by GSM1k</w:t>
      </w:r>
      <w:r>
        <w:t xml:space="preserve"> </w:t>
      </w:r>
      <w:hyperlink w:anchor="r12">
        <w:r>
          <w:rPr>
            <w:rStyle w:val="Hyperlink"/>
            <w:vertAlign w:val="superscript"/>
          </w:rPr>
          <w:t xml:space="preserve">[12]</w:t>
        </w:r>
      </w:hyperlink>
      <w:r>
        <w:t xml:space="preserve">, which exposed memorization on grade-school arithmetic, and by recent surveys of</w:t>
      </w:r>
      <w:r>
        <w:t xml:space="preserve"> </w:t>
      </w:r>
      <w:r>
        <w:t xml:space="preserve">data contamination in LLMs</w:t>
      </w:r>
      <w:r>
        <w:t xml:space="preserve"> </w:t>
      </w:r>
      <w:hyperlink w:anchor="r13">
        <w:r>
          <w:rPr>
            <w:rStyle w:val="Hyperlink"/>
            <w:vertAlign w:val="superscript"/>
          </w:rPr>
          <w:t xml:space="preserve">[13]</w:t>
        </w:r>
      </w:hyperlink>
      <w:r>
        <w:t xml:space="preserve">. Live benchmarks such as LiveBench</w:t>
      </w:r>
      <w:r>
        <w:t xml:space="preserve"> </w:t>
      </w:r>
      <w:hyperlink w:anchor="r22">
        <w:r>
          <w:rPr>
            <w:rStyle w:val="Hyperlink"/>
            <w:vertAlign w:val="superscript"/>
          </w:rPr>
          <w:t xml:space="preserve">[22]</w:t>
        </w:r>
      </w:hyperlink>
      <w:r>
        <w:t xml:space="preserve"> </w:t>
      </w:r>
      <w:r>
        <w:t xml:space="preserve">and LiveCodeBench</w:t>
      </w:r>
      <w:r>
        <w:t xml:space="preserve"> </w:t>
      </w:r>
      <w:hyperlink w:anchor="r23">
        <w:r>
          <w:rPr>
            <w:rStyle w:val="Hyperlink"/>
            <w:vertAlign w:val="superscript"/>
          </w:rPr>
          <w:t xml:space="preserve">[23]</w:t>
        </w:r>
      </w:hyperlink>
      <w:r>
        <w:t xml:space="preserve"> </w:t>
      </w:r>
      <w:r>
        <w:t xml:space="preserve">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Dynabench</w:t>
      </w:r>
      <w:r>
        <w:t xml:space="preserve"> </w:t>
      </w:r>
      <w:hyperlink w:anchor="r14">
        <w:r>
          <w:rPr>
            <w:rStyle w:val="Hyperlink"/>
            <w:vertAlign w:val="superscript"/>
          </w:rPr>
          <w:t xml:space="preserve">[14]</w:t>
        </w:r>
      </w:hyperlink>
      <w:r>
        <w:t xml:space="preserve"> </w:t>
      </w:r>
      <w:r>
        <w:t xml:space="preserve">proposed dynamic, human-in-the-loop</w:t>
      </w:r>
      <w:r>
        <w:t xml:space="preserve"> </w:t>
      </w:r>
      <w:r>
        <w:t xml:space="preserve">renewal; CoEval automates renewal without humans. Constructing domain-specific evaluation sets for LLM judges</w:t>
      </w:r>
      <w:r>
        <w:t xml:space="preserve"> </w:t>
      </w:r>
      <w:hyperlink w:anchor="r25">
        <w:r>
          <w:rPr>
            <w:rStyle w:val="Hyperlink"/>
            <w:vertAlign w:val="superscript"/>
          </w:rPr>
          <w:t xml:space="preserve">[25]</w:t>
        </w:r>
      </w:hyperlink>
      <w:r>
        <w:t xml:space="preserve"> </w:t>
      </w:r>
      <w:r>
        <w:t xml:space="preserve">targets verticals such as medicine and law; CoEval generates such domain-targeted</w:t>
      </w:r>
      <w:r>
        <w:t xml:space="preserve"> </w:t>
      </w:r>
      <w:r>
        <w:t xml:space="preserve">items automatically within the same pipeline. Length-Controlled AlpacaEval</w:t>
      </w:r>
      <w:r>
        <w:t xml:space="preserve"> </w:t>
      </w:r>
      <w:hyperlink w:anchor="r8">
        <w:r>
          <w:rPr>
            <w:rStyle w:val="Hyperlink"/>
            <w:vertAlign w:val="superscript"/>
          </w:rPr>
          <w:t xml:space="preserve">[8]</w:t>
        </w:r>
      </w:hyperlink>
      <w:r>
        <w:t xml:space="preserve"> </w:t>
      </w:r>
      <w:r>
        <w:t xml:space="preserve">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YAML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YAML file and emits eight interactive reports plus a benchmark export.</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jc w:val="both"/>
        <w:keepNext w:val="0"/>
        <w:keepLines w:val="0"/>
        <w:widowControl w:val="1"/>
      </w:pPr>
      <w:r>
        <w:t xml:space="preserve">$</w:t>
      </w: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w:r>
        <w:t xml:space="preserve">$</w:t>
      </w:r>
    </w:p>
    <w:p>
      <w:pPr>
        <w:pStyle w:val="BodyText"/>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Because items are generated fresh on each run from the attribute specification, the resulting</w:t>
      </w:r>
      <w:r>
        <w:t xml:space="preserve"> </w:t>
      </w:r>
      <w:r>
        <w:t xml:space="preserve">benchmark cannot have been seen during any student's pretraining — contamination-freeness is a structural property</w:t>
      </w:r>
      <w:r>
        <w:t xml:space="preserve"> </w:t>
      </w:r>
      <w:r>
        <w:t xml:space="preserve">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jc w:val="both"/>
        <w:keepNext w:val="0"/>
        <w:keepLines w:val="0"/>
        <w:widowControl w:val="1"/>
      </w:pPr>
      <w:r>
        <w:t xml:space="preserve">$</w:t>
      </w: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w:r>
        <w:t xml:space="preserve">$</w:t>
      </w:r>
    </w:p>
    <w:p>
      <w:pPr>
        <w:pStyle w:val="BodyText"/>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 as we observe empirically for verbosity</w:t>
      </w:r>
      <w:r>
        <w:t xml:space="preserve"> </w:t>
      </w:r>
      <w:r>
        <w:t xml:space="preserve">(Section 5.3) —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the agreement of the judge panel using intraclass correlation. For an average-measures design over</w:t>
      </w:r>
      <w:r>
        <w:t xml:space="preserve"> </w:t>
      </w:r>
      <m:oMath>
        <m:r>
          <m:t>k</m:t>
        </m:r>
      </m:oMath>
      <w:r>
        <w:t xml:space="preserve"> </w:t>
      </w:r>
      <w:r>
        <w:t xml:space="preserve">judges, the ICC(3,k) reliability is</w:t>
      </w:r>
    </w:p>
    <w:p>
      <w:pPr>
        <w:pStyle w:val="BodyText"/>
        <w:jc w:val="both"/>
        <w:keepNext w:val="0"/>
        <w:keepLines w:val="0"/>
        <w:widowControl w:val="1"/>
      </w:pPr>
      <w:r>
        <w:t xml:space="preserve">$</w:t>
      </w: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w:r>
        <w:t xml:space="preserve">$</w:t>
      </w:r>
    </w:p>
    <w:p>
      <w:pPr>
        <w:pStyle w:val="BodyText"/>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jc w:val="both"/>
        <w:keepNext w:val="0"/>
        <w:keepLines w:val="0"/>
        <w:widowControl w:val="1"/>
      </w:pPr>
      <w:r>
        <w:t xml:space="preserve">$</w:t>
      </w: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w:r>
        <w:t xml:space="preserve">$</w:t>
      </w:r>
    </w:p>
    <w:p>
      <w:pPr>
        <w:pStyle w:val="BodyText"/>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jc w:val="both"/>
        <w:keepNext w:val="0"/>
        <w:keepLines w:val="0"/>
        <w:widowControl w:val="1"/>
      </w:pPr>
      <w:r>
        <w:t xml:space="preserve">$</w:t>
      </w: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w:r>
        <w:t xml:space="preserve">$</w:t>
      </w:r>
    </w:p>
    <w:p>
      <w:pPr>
        <w:pStyle w:val="BodyText"/>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with bootstrap CIs over</w:t>
      </w:r>
      <w:r>
        <w:t xml:space="preserve"> </w:t>
      </w:r>
      <m:oMath>
        <m:r>
          <m:t>B</m:t>
        </m:r>
      </m:oMath>
      <w:r>
        <w:t xml:space="preserve"> </w:t>
      </w:r>
      <w:r>
        <w:t xml:space="preserve">resamples. The complete configuration, including model identifiers, attribute strata, and prompts, is captured in</w:t>
      </w:r>
      <w:r>
        <w:t xml:space="preserve"> </w:t>
      </w:r>
      <w:r>
        <w:t xml:space="preserve">a single declarative YAML file, and all artifacts are regenerable from that specification. The full study produced</w:t>
      </w:r>
      <w:r>
        <w:t xml:space="preserve"> </w:t>
      </w:r>
      <w:r>
        <w:rPr>
          <w:b/>
          <w:bCs/>
        </w:rPr>
        <w:t xml:space="preserve">7,978 valid evaluations</w:t>
      </w:r>
      <w:r>
        <w:t xml:space="preserve"> </w:t>
      </w:r>
      <w:r>
        <w:t xml:space="preserve">across the four tasks.</w:t>
      </w:r>
    </w:p>
    <w:bookmarkEnd w:id="23"/>
    <w:bookmarkStart w:id="45" w:name="results"/>
    <w:p>
      <w:pPr>
        <w:pStyle w:val="Heading2"/>
        <w:keepNext/>
        <w:keepLines/>
        <w:widowControl w:val="1"/>
      </w:pPr>
      <w:r>
        <w:t xml:space="preserve">5. Results</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w:t>
      </w:r>
      <m:oMath>
        <m:r>
          <m:t>n</m:t>
        </m:r>
        <m:r>
          <m:rPr>
            <m:sty m:val="p"/>
          </m:rPr>
          <m:t>=</m:t>
        </m:r>
        <m:r>
          <m:t>573</m:t>
        </m:r>
      </m:oMath>
      <w:r>
        <w:t xml:space="preserve"> </w:t>
      </w:r>
      <w:r>
        <w:t xml:space="preserve">from three student models, drawn from</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sanity test, which isolates judge accuracy.</w:t>
      </w:r>
    </w:p>
    <w:p>
      <w:pPr>
        <w:pStyle w:val="TableCaption"/>
        <w:spacing w:before="160" w:after="60" w:line="240" w:lineRule="auto"/>
        <w:jc w:val="center"/>
        <w:keepNext/>
        <w:keepLines/>
        <w:widowControl w:val="1"/>
      </w:pPr>
      <w:r>
        <w:rPr>
          <w:b/>
          <w:bCs/>
        </w:rPr>
        <w:t xml:space="preserve">Table 1.</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1.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pStyle w:val="BodyText"/>
        <w:spacing w:before="16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here the ensemble</w:t>
      </w:r>
      <w:r>
        <w:t xml:space="preserve"> </w:t>
      </w:r>
      <w:r>
        <w:rPr>
          <w:i/>
          <w:iCs/>
        </w:rPr>
        <w:t xml:space="preserve">equals</w:t>
      </w:r>
      <w:r>
        <w:t xml:space="preserve"> </w:t>
      </w:r>
      <w:r>
        <w:t xml:space="preserve">its best member rather than exceeding it: this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—no single provider drives it—a</w:t>
      </w:r>
      <w:r>
        <w:t xml:space="preserve"> </w:t>
      </w:r>
      <w:r>
        <w:t xml:space="preserve">reliability floor rather than a demonstration of ensemble gain. The ensemble's distinctive value emerges where judges</w:t>
      </w:r>
      <w:r>
        <w:t xml:space="preserve"> </w:t>
      </w:r>
      <w:r>
        <w:t xml:space="preserve">legitimately disagree. On open-ended summarization scored against BERTScore, the ensemble (</w:t>
      </w:r>
      <m:oMath>
        <m:r>
          <m:t>ρ</m:t>
        </m:r>
        <m:r>
          <m:rPr>
            <m:sty m:val="p"/>
          </m:rPr>
          <m:t>=</m:t>
        </m:r>
        <m:r>
          <m:t>0.241</m:t>
        </m:r>
      </m:oMath>
      <w:r>
        <w:t xml:space="preserve">) exceeds the</w:t>
      </w:r>
      <w:r>
        <w:t xml:space="preserve"> </w:t>
      </w:r>
      <w:r>
        <w:rPr>
          <w:i/>
          <w:iCs/>
        </w:rPr>
        <w:t xml:space="preserve">average</w:t>
      </w:r>
      <w:r>
        <w:t xml:space="preserve"> </w:t>
      </w:r>
      <w:r>
        <w:t xml:space="preserve">single judge (</w:t>
      </w:r>
      <m:oMath>
        <m:r>
          <m:t>ρ</m:t>
        </m:r>
        <m:r>
          <m:rPr>
            <m:sty m:val="p"/>
          </m:rPr>
          <m:t>=</m:t>
        </m:r>
        <m:r>
          <m:t>0.121</m:t>
        </m:r>
      </m:oMath>
      <w:r>
        <w:t xml:space="preserve">) but not the</w:t>
      </w:r>
      <w:r>
        <w:t xml:space="preserve"> </w:t>
      </w:r>
      <w:r>
        <w:rPr>
          <w:i/>
          <w:iCs/>
        </w:rPr>
        <w:t xml:space="preserve">best</w:t>
      </w:r>
      <w:r>
        <w:t xml:space="preserve"> </w:t>
      </w:r>
      <w:r>
        <w:t xml:space="preserve">single judge (</w:t>
      </w:r>
      <m:oMath>
        <m:r>
          <m:t>ρ</m:t>
        </m:r>
        <m:r>
          <m:rPr>
            <m:sty m:val="p"/>
          </m:rPr>
          <m:t>=</m:t>
        </m:r>
        <m:r>
          <m:t>0.354</m:t>
        </m:r>
      </m:oMath>
      <w:r>
        <w:t xml:space="preserve">); and the</w:t>
      </w:r>
      <w:r>
        <w:t xml:space="preserve"> </w:t>
      </w:r>
      <w:r>
        <w:t xml:space="preserve">BERTScore reference is itself a weak lexical proxy of quality (the code-explanation subtask, where BLEU is</w:t>
      </w:r>
      <w:r>
        <w:t xml:space="preserve"> </w:t>
      </w:r>
      <w:r>
        <w:t xml:space="preserve">near-degenerate at</w:t>
      </w:r>
      <w:r>
        <w:t xml:space="preserve"> </w:t>
      </w:r>
      <m:oMath>
        <m:r>
          <m:t>ρ</m:t>
        </m:r>
        <m:r>
          <m:rPr>
            <m:sty m:val="p"/>
          </m:rPr>
          <m:t>≈</m:t>
        </m:r>
        <m:r>
          <m:t>0</m:t>
        </m:r>
      </m:oMath>
      <w:r>
        <w:t xml:space="preserve">, is uninformative for every evaluator). Point-correlation against a noisy reference</w:t>
      </w:r>
      <w:r>
        <w:t xml:space="preserve"> </w:t>
      </w:r>
      <w:r>
        <w:t xml:space="preserve">is therefore the wrong lens for the ensemble's contribution. That contribution is</w:t>
      </w:r>
      <w:r>
        <w:t xml:space="preserve"> </w:t>
      </w:r>
      <w:r>
        <w:rPr>
          <w:i/>
          <w:iCs/>
        </w:rPr>
        <w:t xml:space="preserve">bias-robustness</w:t>
      </w:r>
      <w:r>
        <w:t xml:space="preserve">: on the</w:t>
      </w:r>
      <w:r>
        <w:t xml:space="preserve"> </w:t>
      </w:r>
      <w:r>
        <w:t xml:space="preserve">subjective dimensions of Section 5.3, individual judges carry verbosity biases of opposite sign that the ensemble</w:t>
      </w:r>
      <w:r>
        <w:t xml:space="preserve"> </w:t>
      </w:r>
      <w:r>
        <w:t xml:space="preserve">provably cancels—an advantage no single judge, however well it correlates with one reference, can provide.</w:t>
      </w:r>
    </w:p>
    <w:p>
      <w:pPr>
        <w:pStyle w:val="BodyText"/>
        <w:jc w:val="center"/>
        <w:keepNext/>
        <w:keepLines/>
        <w:widowControl w:val="1"/>
      </w:pPr>
      <w:r>
        <w:drawing>
          <wp:inline>
            <wp:extent cx="5023104" cy="3169920"/>
            <wp:effectExtent b="0" l="0" r="0" t="0"/>
            <wp:docPr descr="Spearman correlation with ground-truth correctness per judge and ensemble"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023104"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Rank correlation of CoEval accuracy scores with ground-truth answer correctness</w:t>
      </w:r>
      <w:r>
        <w:t xml:space="preserve"> </w:t>
      </w:r>
      <w:r>
        <w:t xml:space="preserve">on exact-match QA (</w:t>
      </w:r>
      <m:oMath>
        <m:r>
          <m:t>191</m:t>
        </m:r>
      </m:oMath>
      <w:r>
        <w:t xml:space="preserve"> </w:t>
      </w:r>
      <w:r>
        <w:t xml:space="preserve">datapoints,</w:t>
      </w:r>
      <w:r>
        <w:t xml:space="preserve"> </w:t>
      </w:r>
      <m:oMath>
        <m:r>
          <m:t>573</m:t>
        </m:r>
      </m:oMath>
      <w:r>
        <w:t xml:space="preserve"> </w:t>
      </w:r>
      <w:r>
        <w:t xml:space="preserve">responses). The frontier cross-family ensemble reaches</w:t>
      </w:r>
      <w:r>
        <w:t xml:space="preserve"> </w:t>
      </w:r>
      <m:oMath>
        <m:r>
          <m:t>ρ</m:t>
        </m:r>
        <m:r>
          <m:rPr>
            <m:sty m:val="p"/>
          </m:rPr>
          <m:t>=</m:t>
        </m:r>
        <m:r>
          <m:t>0.86</m:t>
        </m:r>
      </m:oMath>
      <w:r>
        <w:t xml:space="preserve"> </w:t>
      </w:r>
      <w:r>
        <w:t xml:space="preserve">(datapoint-clustered 95% CI shown); the three frontier judges converge on identical labels, so the ensemble equals</w:t>
      </w:r>
      <w:r>
        <w:t xml:space="preserve"> </w:t>
      </w:r>
      <w:r>
        <w:t xml:space="preserve">its best member here—a vendor-independent reliability floor on objective tasks.</w:t>
      </w:r>
    </w:p>
    <w:bookmarkEnd w:id="27"/>
    <w:bookmarkStart w:id="31" w:name="ensemble-reliability"/>
    <w:p>
      <w:pPr>
        <w:pStyle w:val="Heading3"/>
        <w:keepNext/>
        <w:keepLines/>
        <w:widowControl w:val="1"/>
      </w:pPr>
      <w:r>
        <w:t xml:space="preserve">5.2 Ensemble reliability</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of Section 3.4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 which would otherwise</w:t>
      </w:r>
      <w:r>
        <w:t xml:space="preserve"> </w:t>
      </w:r>
      <w:r>
        <w:t xml:space="preserve">degrade a naive ensemble —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As an expected stability check (not an independent result),</w:t>
      </w:r>
      <w:r>
        <w:t xml:space="preserve"> </w:t>
      </w:r>
      <w:r>
        <w:t xml:space="preserve">the</w:t>
      </w:r>
      <w:r>
        <w:t xml:space="preserve"> </w:t>
      </w:r>
      <m:oMath>
        <m:r>
          <m:t>k</m:t>
        </m:r>
      </m:oMath>
      <w:r>
        <w:t xml:space="preserve">-judge ensemble's rank-agreement with the full-panel consensus rises with</w:t>
      </w:r>
      <w:r>
        <w:t xml:space="preserve"> </w:t>
      </w:r>
      <m:oMath>
        <m:r>
          <m:t>k</m:t>
        </m:r>
      </m:oMath>
      <w:r>
        <w:t xml:space="preserve"> </w:t>
      </w:r>
      <w:r>
        <w:t xml:space="preserve">(Spearman</w:t>
      </w:r>
      <w:r>
        <w:t xml:space="preserve"> </w:t>
      </w:r>
      <m:oMath>
        <m:r>
          <m:t>ρ</m:t>
        </m:r>
      </m:oMath>
      <w:r>
        <w:t xml:space="preserve">: $0.67, 0.74,</w:t>
      </w:r>
      <w:r>
        <w:t xml:space="preserve"> </w:t>
      </w:r>
      <w:r>
        <w:t xml:space="preserve">0.93, 1.00</w:t>
      </w:r>
      <m:oMath>
        <m:r>
          <m:rPr>
            <m:sty m:val="p"/>
          </m:rPr>
          <m:t>)</m:t>
        </m:r>
        <m:r>
          <m:rPr>
            <m:sty m:val="p"/>
          </m:rPr>
          <m:t>;</m:t>
        </m:r>
        <m:r>
          <m:t>c</m:t>
        </m:r>
        <m:r>
          <m:t>o</m:t>
        </m:r>
        <m:r>
          <m:t>n</m:t>
        </m:r>
        <m:r>
          <m:t>v</m:t>
        </m:r>
        <m:r>
          <m:t>e</m:t>
        </m:r>
        <m:r>
          <m:t>r</m:t>
        </m:r>
        <m:r>
          <m:t>g</m:t>
        </m:r>
        <m:r>
          <m:t>e</m:t>
        </m:r>
        <m:r>
          <m:t>n</m:t>
        </m:r>
        <m:r>
          <m:t>c</m:t>
        </m:r>
        <m:r>
          <m:t>e</m:t>
        </m:r>
        <m:r>
          <m:t>t</m:t>
        </m:r>
        <m:r>
          <m:t>o</m:t>
        </m:r>
      </m:oMath>
      <w:r>
        <w:t xml:space="preserve">1.00$ holds by construction and simply confirms that a small selected panel already</w:t>
      </w:r>
      <w:r>
        <w:t xml:space="preserve"> </w:t>
      </w:r>
      <w:r>
        <w:t xml:space="preserve">recovers most of 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 the tendency to reward longer responses. For each</w:t>
      </w:r>
      <w:r>
        <w:t xml:space="preserve"> </w:t>
      </w:r>
      <w:r>
        <w:t xml:space="preserve">judge we compute the Pearson correlation between response length and assigned score. Individual judges carry length</w:t>
      </w:r>
      <w:r>
        <w:t xml:space="preserve"> </w:t>
      </w:r>
      <w:r>
        <w:t xml:space="preserve">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160" w:after="60" w:line="240" w:lineRule="auto"/>
        <w:jc w:val="center"/>
        <w:keepNext/>
        <w:keepLines/>
        <w:widowControl w:val="1"/>
      </w:pPr>
      <w:r>
        <w:rPr>
          <w:b/>
          <w:bCs/>
        </w:rPr>
        <w:t xml:space="preserve">Table 2.</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2.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hyperlink w:anchor="r15">
        <w:r>
          <w:rPr>
            <w:rStyle w:val="Hyperlink"/>
            <w:vertAlign w:val="superscript"/>
          </w:rPr>
          <w:t xml:space="preserve">[15]</w:t>
        </w:r>
      </w:hyperlink>
      <w:r>
        <w:t xml:space="preserve"> </w:t>
      </w:r>
      <w:r>
        <w:t xml:space="preserve">identifies same-model and same-family relatedness as a contamination vector, and</w:t>
      </w:r>
      <w:r>
        <w:t xml:space="preserve"> </w:t>
      </w:r>
      <w:r>
        <w:rPr>
          <w:i/>
          <w:iCs/>
        </w:rPr>
        <w:t xml:space="preserve">Play Favorites</w:t>
      </w:r>
      <w:r>
        <w:t xml:space="preserve"> </w:t>
      </w:r>
      <w:hyperlink w:anchor="r16">
        <w:r>
          <w:rPr>
            <w:rStyle w:val="Hyperlink"/>
            <w:vertAlign w:val="superscript"/>
          </w:rPr>
          <w:t xml:space="preserve">[16]</w:t>
        </w:r>
      </w:hyperlink>
      <w:r>
        <w:t xml:space="preserve"> </w:t>
      </w:r>
      <w:r>
        <w:t xml:space="preserve">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A preliminary re-analysis is consistent with the effect—a model is rated</w:t>
      </w:r>
      <w:r>
        <w:t xml:space="preserve"> </w:t>
      </w:r>
      <m:oMath>
        <m:r>
          <m:rPr>
            <m:sty m:val="p"/>
          </m:rPr>
          <m:t>≈</m:t>
        </m:r>
        <m:r>
          <m:t>0.09</m:t>
        </m:r>
      </m:oMath>
      <w:r>
        <w:t xml:space="preserve"> </w:t>
      </w:r>
      <w:r>
        <w:t xml:space="preserve">higher (normalized</w:t>
      </w:r>
      <w:r>
        <w:t xml:space="preserve"> </w:t>
      </w:r>
      <m:oMath>
        <m:r>
          <m:rPr>
            <m:sty m:val="p"/>
          </m:rPr>
          <m:t>[</m:t>
        </m:r>
        <m:r>
          <m:t>0</m:t>
        </m:r>
        <m:r>
          <m:rPr>
            <m:sty m:val="p"/>
          </m:rPr>
          <m:t>,</m:t>
        </m:r>
        <m:r>
          <m:t>1</m:t>
        </m:r>
        <m:r>
          <m:rPr>
            <m:sty m:val="p"/>
          </m:rPr>
          <m:t>]</m:t>
        </m:r>
      </m:oMath>
      <w:r>
        <w:t xml:space="preserve">) by same-family than by out-of-family judges—though in that panel the out-of-family</w:t>
      </w:r>
      <w:r>
        <w:t xml:space="preserve"> </w:t>
      </w:r>
      <w:r>
        <w:t xml:space="preserve">judges are also smaller models, so this figure conflates family with capability and is reported as indicative only.</w:t>
      </w:r>
      <w:r>
        <w:t xml:space="preserve"> </w:t>
      </w:r>
      <w:r>
        <w:t xml:space="preserve">A controlled measurement holding judge capability fixed across</w:t>
      </w:r>
      <w:r>
        <w:t xml:space="preserve"> </w:t>
      </w:r>
      <m:oMath>
        <m:r>
          <m:rPr>
            <m:sty m:val="p"/>
          </m:rPr>
          <m:t>≥</m:t>
        </m:r>
        <m:r>
          <m:t>3</m:t>
        </m:r>
      </m:oMath>
      <w:r>
        <w:t xml:space="preserve"> </w:t>
      </w:r>
      <w:r>
        <w:t xml:space="preserve">families (the protocol of [16]) is the natural</w:t>
      </w:r>
      <w:r>
        <w:t xml:space="preserve"> </w:t>
      </w:r>
      <w:r>
        <w:t xml:space="preserve">validation and is left to future work; the design guarantee itself does not depend on it.</w:t>
      </w:r>
    </w:p>
    <w:p>
      <w:pPr>
        <w:pStyle w:val="BodyText"/>
        <w:jc w:val="both"/>
        <w:keepNext w:val="0"/>
        <w:keepLines w:val="0"/>
        <w:widowControl w:val="1"/>
      </w:pPr>
      <w:r>
        <w:rPr>
          <w:b/>
          <w:bCs/>
        </w:rPr>
        <w:t xml:space="preserve">Property (self-preference).</w:t>
      </w:r>
      <w:r>
        <w:t xml:space="preserve"> </w:t>
      </w:r>
      <w:r>
        <w:t xml:space="preserve">CoEval's vendor-disjoint panel structurally precludes a model from</w:t>
      </w:r>
      <w:r>
        <w:t xml:space="preserve"> </w:t>
      </w:r>
      <w:r>
        <w:t xml:space="preserve">judging its own family, closing the self-preference channel by design. A controlled cross-capability measurement is</w:t>
      </w:r>
      <w:r>
        <w:t xml:space="preserve"> </w:t>
      </w:r>
      <w:r>
        <w:t xml:space="preserve">future work; the present cross-family estimate (</w:t>
      </w:r>
      <m:oMath>
        <m:r>
          <m:rPr>
            <m:sty m:val="p"/>
          </m:rPr>
          <m:t>≈</m:t>
        </m:r>
        <m:r>
          <m:t>0.09</m:t>
        </m:r>
      </m:oMath>
      <w:r>
        <w:t xml:space="preserve">) is indicative, not a confirmed bias magnitude.</w:t>
      </w:r>
    </w:p>
    <w:bookmarkEnd w:id="36"/>
    <w:bookmarkStart w:id="40" w:name="rubric-generalization"/>
    <w:p>
      <w:pPr>
        <w:pStyle w:val="Heading3"/>
        <w:keepNext/>
        <w:keepLines/>
        <w:widowControl w:val="1"/>
      </w:pPr>
      <w:r>
        <w:t xml:space="preserve">5.5 Rubric generalization</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w:t>
      </w:r>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38" name="Picture"/>
            <a:graphic>
              <a:graphicData uri="http://schemas.openxmlformats.org/drawingml/2006/picture">
                <pic:pic>
                  <pic:nvPicPr>
                    <pic:cNvPr descr="figures/f5_rubric_heatmap.png" id="39" name="Picture"/>
                    <pic:cNvPicPr>
                      <a:picLocks noChangeArrowheads="1" noChangeAspect="1"/>
                    </pic:cNvPicPr>
                  </pic:nvPicPr>
                  <pic:blipFill>
                    <a:blip r:embed="rId37"/>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p>
      <w:pPr>
        <w:pStyle w:val="BodyText"/>
        <w:jc w:val="both"/>
        <w:keepNext w:val="0"/>
        <w:keepLines w:val="0"/>
        <w:widowControl w:val="1"/>
      </w:pPr>
      <w:r>
        <w:rPr>
          <w:b/>
          <w:bCs/>
        </w:rPr>
        <w:t xml:space="preserve">Finding (rubrics).</w:t>
      </w:r>
      <w:r>
        <w:t xml:space="preserve"> </w:t>
      </w:r>
      <w:r>
        <w:t xml:space="preserve">Auto-generated rubrics are task-specialized (within-task similarity</w:t>
      </w:r>
      <w:r>
        <w:t xml:space="preserve"> </w:t>
      </w:r>
      <m:oMath>
        <m:r>
          <m:t>0.342</m:t>
        </m:r>
        <m:r>
          <m:rPr>
            <m:sty m:val="p"/>
          </m:rPr>
          <m:t>&gt;</m:t>
        </m:r>
      </m:oMath>
      <w:r>
        <w:t xml:space="preserve"> </w:t>
      </w:r>
      <w:r>
        <w:t xml:space="preserve">cross-task</w:t>
      </w:r>
      <w:r>
        <w:t xml:space="preserve"> </w:t>
      </w:r>
      <m:oMath>
        <m:r>
          <m:t>0.294</m:t>
        </m:r>
      </m:oMath>
      <w:r>
        <w:t xml:space="preserve">) while sharing a universal “completeness” dimension across three tasks.</w:t>
      </w:r>
    </w:p>
    <w:bookmarkEnd w:id="40"/>
    <w:bookmarkStart w:id="44"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 teacher generation, student response collection, cross-family judging,</w:t>
      </w:r>
      <w:r>
        <w:t xml:space="preserve"> </w:t>
      </w:r>
      <w:r>
        <w:t xml:space="preserve">and analysis —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w:t>
      </w:r>
    </w:p>
    <w:p>
      <w:pPr>
        <w:pStyle w:val="BodyText"/>
        <w:jc w:val="center"/>
        <w:keepNext/>
        <w:keepLines/>
        <w:widowControl w:val="1"/>
      </w:pPr>
      <w:r>
        <w:drawing>
          <wp:inline>
            <wp:extent cx="4632960" cy="2987040"/>
            <wp:effectExtent b="0" l="0" r="0" t="0"/>
            <wp:docPr descr="Evaluations per dollar: CoEval versus human annotation" title="" id="42" name="Picture"/>
            <a:graphic>
              <a:graphicData uri="http://schemas.openxmlformats.org/drawingml/2006/picture">
                <pic:pic>
                  <pic:nvPicPr>
                    <pic:cNvPr descr="figures/f6_cost.png" id="43" name="Picture"/>
                    <pic:cNvPicPr>
                      <a:picLocks noChangeArrowheads="1" noChangeAspect="1"/>
                    </pic:cNvPicPr>
                  </pic:nvPicPr>
                  <pic:blipFill>
                    <a:blip r:embed="rId41"/>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bookmarkEnd w:id="44"/>
    <w:bookmarkEnd w:id="45"/>
    <w:bookmarkStart w:id="46" w:name="discussion"/>
    <w:p>
      <w:pPr>
        <w:pStyle w:val="Heading2"/>
        <w:keepNext/>
        <w:keepLines/>
        <w:widowControl w:val="1"/>
      </w:pPr>
      <w:r>
        <w:t xml:space="preserve">6. Discussion</w:t>
      </w:r>
    </w:p>
    <w:p>
      <w:pPr>
        <w:pStyle w:val="FirstParagraph"/>
        <w:jc w:val="both"/>
        <w:keepNext w:val="0"/>
        <w:keepLines w:val="0"/>
        <w:widowControl w:val="1"/>
      </w:pPr>
      <w:r>
        <w:t xml:space="preserve">Taken together, the results support a single design principle: the reliability of an LLM-judge panel is governed by</w:t>
      </w:r>
      <w:r>
        <w:t xml:space="preserve"> </w:t>
      </w:r>
      <w:r>
        <w:t xml:space="preserve">its</w:t>
      </w:r>
      <w:r>
        <w:t xml:space="preserve"> </w:t>
      </w:r>
      <w:r>
        <w:rPr>
          <w:i/>
          <w:iCs/>
        </w:rPr>
        <w:t xml:space="preserve">composition</w:t>
      </w:r>
      <w:r>
        <w:t xml:space="preserve">, not its size. A diverse, cross-family panel cancels the mixed-sign biases — verbosity,</w:t>
      </w:r>
      <w:r>
        <w:t xml:space="preserve"> </w:t>
      </w:r>
      <w:r>
        <w:t xml:space="preserve">self-preference — that any individual judge carries, while a same-family panel would merely amplify a shared</w:t>
      </w:r>
      <w:r>
        <w:t xml:space="preserve"> </w:t>
      </w:r>
      <w:r>
        <w:t xml:space="preserve">bias. This reframes panel construction: practitioners should prioritize vendor diversity over adding more copies of</w:t>
      </w:r>
      <w:r>
        <w:t xml:space="preserve"> </w:t>
      </w:r>
      <w:r>
        <w:t xml:space="preserve">similar judges. The Spearman–Brown convergence (Section 5.2) further shows that a modest diverse panel</w:t>
      </w:r>
      <w:r>
        <w:t xml:space="preserve"> </w:t>
      </w:r>
      <w:r>
        <w:t xml:space="preserve">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 one architectural choice closing two leakage channels. Declarative</w:t>
      </w:r>
      <w:r>
        <w:t xml:space="preserve"> </w:t>
      </w:r>
      <w:r>
        <w:t xml:space="preserve">specification keeps the whole pipeline reproducible: a single YAML file regenerates the benchmark, the responses, and</w:t>
      </w:r>
      <w:r>
        <w:t xml:space="preserve"> </w:t>
      </w:r>
      <w:r>
        <w:t xml:space="preserve">the scores.</w:t>
      </w:r>
    </w:p>
    <w:bookmarkEnd w:id="46"/>
    <w:bookmarkStart w:id="47"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contamination-free, domain-targeted LLM evaluation framework built on a teacher/student/judge</w:t>
      </w:r>
      <w:r>
        <w:t xml:space="preserve"> </w:t>
      </w:r>
      <w:r>
        <w:t xml:space="preserve">role separation, attribute-stratified benchmark generation, and a cross-family judge ensemble.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CoEval is open-source, declarative, and</w:t>
      </w:r>
      <w:r>
        <w:t xml:space="preserve"> </w:t>
      </w:r>
      <w:r>
        <w:t xml:space="preserve">fully reproducible.</w:t>
      </w:r>
    </w:p>
    <w:bookmarkEnd w:id="47"/>
    <w:bookmarkStart w:id="100"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49"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8">
        <w:r>
          <w:rPr>
            <w:rStyle w:val="Hyperlink"/>
          </w:rPr>
          <w:t xml:space="preserve">arxiv.org/abs/2306.05685</w:t>
        </w:r>
      </w:hyperlink>
      <w:bookmarkEnd w:id="49"/>
    </w:p>
    <w:p>
      <w:pPr>
        <w:pStyle w:val="ReferenceEntry"/>
        <w:numPr>
          <w:ilvl w:val="0"/>
          <w:numId w:val="1002"/>
        </w:numPr>
        <w:jc w:val="left"/>
        <w:keepNext w:val="0"/>
        <w:keepLines w:val="0"/>
        <w:widowControl w:val="1"/>
      </w:pPr>
      <w:bookmarkStart w:id="51"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50">
        <w:r>
          <w:rPr>
            <w:rStyle w:val="Hyperlink"/>
          </w:rPr>
          <w:t xml:space="preserve">arxiv.org/abs/2303.16634</w:t>
        </w:r>
      </w:hyperlink>
      <w:bookmarkEnd w:id="51"/>
    </w:p>
    <w:p>
      <w:pPr>
        <w:pStyle w:val="ReferenceEntry"/>
        <w:numPr>
          <w:ilvl w:val="0"/>
          <w:numId w:val="1002"/>
        </w:numPr>
        <w:jc w:val="left"/>
        <w:keepNext w:val="0"/>
        <w:keepLines w:val="0"/>
        <w:widowControl w:val="1"/>
      </w:pPr>
      <w:bookmarkStart w:id="53"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52">
        <w:r>
          <w:rPr>
            <w:rStyle w:val="Hyperlink"/>
          </w:rPr>
          <w:t xml:space="preserve">arxiv.org/abs/2405.01535</w:t>
        </w:r>
      </w:hyperlink>
      <w:bookmarkEnd w:id="53"/>
    </w:p>
    <w:p>
      <w:pPr>
        <w:pStyle w:val="ReferenceEntry"/>
        <w:numPr>
          <w:ilvl w:val="0"/>
          <w:numId w:val="1002"/>
        </w:numPr>
        <w:jc w:val="left"/>
        <w:keepNext w:val="0"/>
        <w:keepLines w:val="0"/>
        <w:widowControl w:val="1"/>
      </w:pPr>
      <w:bookmarkStart w:id="55"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4">
        <w:r>
          <w:rPr>
            <w:rStyle w:val="Hyperlink"/>
          </w:rPr>
          <w:t xml:space="preserve">arxiv.org/abs/2407.10817</w:t>
        </w:r>
      </w:hyperlink>
      <w:bookmarkEnd w:id="55"/>
    </w:p>
    <w:p>
      <w:pPr>
        <w:pStyle w:val="ReferenceEntry"/>
        <w:numPr>
          <w:ilvl w:val="0"/>
          <w:numId w:val="1002"/>
        </w:numPr>
        <w:jc w:val="left"/>
        <w:keepNext w:val="0"/>
        <w:keepLines w:val="0"/>
        <w:widowControl w:val="1"/>
      </w:pPr>
      <w:bookmarkStart w:id="57"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6">
        <w:r>
          <w:rPr>
            <w:rStyle w:val="Hyperlink"/>
          </w:rPr>
          <w:t xml:space="preserve">arxiv.org/abs/2404.18796</w:t>
        </w:r>
      </w:hyperlink>
      <w:bookmarkEnd w:id="57"/>
    </w:p>
    <w:p>
      <w:pPr>
        <w:pStyle w:val="ReferenceEntry"/>
        <w:numPr>
          <w:ilvl w:val="0"/>
          <w:numId w:val="1002"/>
        </w:numPr>
        <w:jc w:val="left"/>
        <w:keepNext w:val="0"/>
        <w:keepLines w:val="0"/>
        <w:widowControl w:val="1"/>
      </w:pPr>
      <w:bookmarkStart w:id="59"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8">
        <w:r>
          <w:rPr>
            <w:rStyle w:val="Hyperlink"/>
          </w:rPr>
          <w:t xml:space="preserve">arxiv.org/abs/2410.12784</w:t>
        </w:r>
      </w:hyperlink>
      <w:bookmarkEnd w:id="59"/>
    </w:p>
    <w:p>
      <w:pPr>
        <w:pStyle w:val="ReferenceEntry"/>
        <w:numPr>
          <w:ilvl w:val="0"/>
          <w:numId w:val="1002"/>
        </w:numPr>
        <w:jc w:val="left"/>
        <w:keepNext w:val="0"/>
        <w:keepLines w:val="0"/>
        <w:widowControl w:val="1"/>
      </w:pPr>
      <w:bookmarkStart w:id="61"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60">
        <w:r>
          <w:rPr>
            <w:rStyle w:val="Hyperlink"/>
          </w:rPr>
          <w:t xml:space="preserve">arxiv.org/abs/2406.05761</w:t>
        </w:r>
      </w:hyperlink>
      <w:bookmarkEnd w:id="61"/>
    </w:p>
    <w:p>
      <w:pPr>
        <w:pStyle w:val="ReferenceEntry"/>
        <w:numPr>
          <w:ilvl w:val="0"/>
          <w:numId w:val="1002"/>
        </w:numPr>
        <w:jc w:val="left"/>
        <w:keepNext w:val="0"/>
        <w:keepLines w:val="0"/>
        <w:widowControl w:val="1"/>
      </w:pPr>
      <w:bookmarkStart w:id="63"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62">
        <w:r>
          <w:rPr>
            <w:rStyle w:val="Hyperlink"/>
          </w:rPr>
          <w:t xml:space="preserve">arxiv.org/abs/2404.04475</w:t>
        </w:r>
      </w:hyperlink>
      <w:bookmarkEnd w:id="63"/>
    </w:p>
    <w:p>
      <w:pPr>
        <w:pStyle w:val="ReferenceEntry"/>
        <w:numPr>
          <w:ilvl w:val="0"/>
          <w:numId w:val="1002"/>
        </w:numPr>
        <w:jc w:val="left"/>
        <w:keepNext w:val="0"/>
        <w:keepLines w:val="0"/>
        <w:widowControl w:val="1"/>
      </w:pPr>
      <w:bookmarkStart w:id="65" w:name="r9"/>
      <w:r>
        <w:t xml:space="preserve">Li, X. L., Kazemi, M., et al. (2024).</w:t>
      </w:r>
      <w:r>
        <w:t xml:space="preserve"> </w:t>
      </w:r>
      <w:r>
        <w:rPr>
          <w:i/>
          <w:iCs/>
        </w:rPr>
        <w:t xml:space="preserve">AutoBencher: Towards Declarative Benchmark Construction.</w:t>
      </w:r>
      <w:r>
        <w:t xml:space="preserve"> </w:t>
      </w:r>
      <w:hyperlink r:id="rId64">
        <w:r>
          <w:rPr>
            <w:rStyle w:val="Hyperlink"/>
          </w:rPr>
          <w:t xml:space="preserve">arxiv.org/abs/2407.08351</w:t>
        </w:r>
      </w:hyperlink>
      <w:bookmarkEnd w:id="65"/>
    </w:p>
    <w:p>
      <w:pPr>
        <w:pStyle w:val="ReferenceEntry"/>
        <w:numPr>
          <w:ilvl w:val="0"/>
          <w:numId w:val="1002"/>
        </w:numPr>
        <w:jc w:val="left"/>
        <w:keepNext w:val="0"/>
        <w:keepLines w:val="0"/>
        <w:widowControl w:val="1"/>
      </w:pPr>
      <w:bookmarkStart w:id="67"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6">
        <w:r>
          <w:rPr>
            <w:rStyle w:val="Hyperlink"/>
          </w:rPr>
          <w:t xml:space="preserve">arxiv.org/abs/2410.22584</w:t>
        </w:r>
      </w:hyperlink>
      <w:bookmarkEnd w:id="67"/>
    </w:p>
    <w:p>
      <w:pPr>
        <w:pStyle w:val="ReferenceEntry"/>
        <w:numPr>
          <w:ilvl w:val="0"/>
          <w:numId w:val="1002"/>
        </w:numPr>
        <w:jc w:val="left"/>
        <w:keepNext w:val="0"/>
        <w:keepLines w:val="0"/>
        <w:widowControl w:val="1"/>
      </w:pPr>
      <w:bookmarkStart w:id="69" w:name="r11"/>
      <w:r>
        <w:t xml:space="preserve">Shashidhar, S., et al. (2025).</w:t>
      </w:r>
      <w:r>
        <w:t xml:space="preserve"> </w:t>
      </w:r>
      <w:r>
        <w:rPr>
          <w:i/>
          <w:iCs/>
        </w:rPr>
        <w:t xml:space="preserve">YourBench: Easy Custom Evaluation Sets for Everyone.</w:t>
      </w:r>
      <w:r>
        <w:t xml:space="preserve"> </w:t>
      </w:r>
      <w:hyperlink r:id="rId68">
        <w:r>
          <w:rPr>
            <w:rStyle w:val="Hyperlink"/>
          </w:rPr>
          <w:t xml:space="preserve">arxiv.org/abs/2504.01833</w:t>
        </w:r>
      </w:hyperlink>
      <w:bookmarkEnd w:id="69"/>
    </w:p>
    <w:p>
      <w:pPr>
        <w:pStyle w:val="ReferenceEntry"/>
        <w:numPr>
          <w:ilvl w:val="0"/>
          <w:numId w:val="1002"/>
        </w:numPr>
        <w:jc w:val="left"/>
        <w:keepNext w:val="0"/>
        <w:keepLines w:val="0"/>
        <w:widowControl w:val="1"/>
      </w:pPr>
      <w:bookmarkStart w:id="71"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70">
        <w:r>
          <w:rPr>
            <w:rStyle w:val="Hyperlink"/>
          </w:rPr>
          <w:t xml:space="preserve">arxiv.org/abs/2405.00332</w:t>
        </w:r>
      </w:hyperlink>
      <w:bookmarkEnd w:id="71"/>
    </w:p>
    <w:p>
      <w:pPr>
        <w:pStyle w:val="ReferenceEntry"/>
        <w:numPr>
          <w:ilvl w:val="0"/>
          <w:numId w:val="1002"/>
        </w:numPr>
        <w:jc w:val="left"/>
        <w:keepNext w:val="0"/>
        <w:keepLines w:val="0"/>
        <w:widowControl w:val="1"/>
      </w:pPr>
      <w:bookmarkStart w:id="73" w:name="r13"/>
      <w:r>
        <w:t xml:space="preserve">Xu, C., et al. (2025).</w:t>
      </w:r>
      <w:r>
        <w:t xml:space="preserve"> </w:t>
      </w:r>
      <w:r>
        <w:rPr>
          <w:i/>
          <w:iCs/>
        </w:rPr>
        <w:t xml:space="preserve">Benchmark Data Contamination of Large Language Models: A Survey.</w:t>
      </w:r>
      <w:r>
        <w:t xml:space="preserve"> </w:t>
      </w:r>
      <w:hyperlink r:id="rId72">
        <w:r>
          <w:rPr>
            <w:rStyle w:val="Hyperlink"/>
          </w:rPr>
          <w:t xml:space="preserve">arxiv.org/abs/2502.14425</w:t>
        </w:r>
      </w:hyperlink>
      <w:bookmarkEnd w:id="73"/>
    </w:p>
    <w:p>
      <w:pPr>
        <w:pStyle w:val="ReferenceEntry"/>
        <w:numPr>
          <w:ilvl w:val="0"/>
          <w:numId w:val="1002"/>
        </w:numPr>
        <w:jc w:val="left"/>
        <w:keepNext w:val="0"/>
        <w:keepLines w:val="0"/>
        <w:widowControl w:val="1"/>
      </w:pPr>
      <w:bookmarkStart w:id="75"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4">
        <w:r>
          <w:rPr>
            <w:rStyle w:val="Hyperlink"/>
          </w:rPr>
          <w:t xml:space="preserve">arxiv.org/abs/2104.14337</w:t>
        </w:r>
      </w:hyperlink>
      <w:bookmarkEnd w:id="75"/>
    </w:p>
    <w:p>
      <w:pPr>
        <w:pStyle w:val="ReferenceEntry"/>
        <w:numPr>
          <w:ilvl w:val="0"/>
          <w:numId w:val="1002"/>
        </w:numPr>
        <w:jc w:val="left"/>
        <w:keepNext w:val="0"/>
        <w:keepLines w:val="0"/>
        <w:widowControl w:val="1"/>
      </w:pPr>
      <w:bookmarkStart w:id="77"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6">
        <w:r>
          <w:rPr>
            <w:rStyle w:val="Hyperlink"/>
          </w:rPr>
          <w:t xml:space="preserve">arxiv.org/abs/2502.01534</w:t>
        </w:r>
      </w:hyperlink>
      <w:bookmarkEnd w:id="77"/>
    </w:p>
    <w:p>
      <w:pPr>
        <w:pStyle w:val="ReferenceEntry"/>
        <w:numPr>
          <w:ilvl w:val="0"/>
          <w:numId w:val="1002"/>
        </w:numPr>
        <w:jc w:val="left"/>
        <w:keepNext w:val="0"/>
        <w:keepLines w:val="0"/>
        <w:widowControl w:val="1"/>
      </w:pPr>
      <w:bookmarkStart w:id="79"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8">
        <w:r>
          <w:rPr>
            <w:rStyle w:val="Hyperlink"/>
          </w:rPr>
          <w:t xml:space="preserve">arxiv.org/abs/2508.06709</w:t>
        </w:r>
      </w:hyperlink>
      <w:bookmarkEnd w:id="79"/>
    </w:p>
    <w:p>
      <w:pPr>
        <w:pStyle w:val="ReferenceEntry"/>
        <w:numPr>
          <w:ilvl w:val="0"/>
          <w:numId w:val="1002"/>
        </w:numPr>
        <w:jc w:val="left"/>
        <w:keepNext w:val="0"/>
        <w:keepLines w:val="0"/>
        <w:widowControl w:val="1"/>
      </w:pPr>
      <w:bookmarkStart w:id="81"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80">
        <w:r>
          <w:rPr>
            <w:rStyle w:val="Hyperlink"/>
          </w:rPr>
          <w:t xml:space="preserve">arxiv.org/abs/2410.02736</w:t>
        </w:r>
      </w:hyperlink>
      <w:bookmarkEnd w:id="81"/>
    </w:p>
    <w:p>
      <w:pPr>
        <w:pStyle w:val="ReferenceEntry"/>
        <w:numPr>
          <w:ilvl w:val="0"/>
          <w:numId w:val="1002"/>
        </w:numPr>
        <w:jc w:val="left"/>
        <w:keepNext w:val="0"/>
        <w:keepLines w:val="0"/>
        <w:widowControl w:val="1"/>
      </w:pPr>
      <w:bookmarkStart w:id="83" w:name="r18"/>
      <w:r>
        <w:t xml:space="preserve">Wataoka, K., Takahashi, T., Ri, R. (2024).</w:t>
      </w:r>
      <w:r>
        <w:t xml:space="preserve"> </w:t>
      </w:r>
      <w:r>
        <w:rPr>
          <w:i/>
          <w:iCs/>
        </w:rPr>
        <w:t xml:space="preserve">Self-Preference Bias in LLM-as-a-Judge.</w:t>
      </w:r>
      <w:r>
        <w:t xml:space="preserve"> </w:t>
      </w:r>
      <w:hyperlink r:id="rId82">
        <w:r>
          <w:rPr>
            <w:rStyle w:val="Hyperlink"/>
          </w:rPr>
          <w:t xml:space="preserve">arxiv.org/abs/2410.21819</w:t>
        </w:r>
      </w:hyperlink>
      <w:bookmarkEnd w:id="83"/>
    </w:p>
    <w:p>
      <w:pPr>
        <w:pStyle w:val="ReferenceEntry"/>
        <w:numPr>
          <w:ilvl w:val="0"/>
          <w:numId w:val="1002"/>
        </w:numPr>
        <w:jc w:val="left"/>
        <w:keepNext w:val="0"/>
        <w:keepLines w:val="0"/>
        <w:widowControl w:val="1"/>
      </w:pPr>
      <w:bookmarkStart w:id="85" w:name="r19"/>
      <w:r>
        <w:t xml:space="preserve">Gu, J., Jiang, X., Shi, Z., et al. (2024).</w:t>
      </w:r>
      <w:r>
        <w:t xml:space="preserve"> </w:t>
      </w:r>
      <w:r>
        <w:rPr>
          <w:i/>
          <w:iCs/>
        </w:rPr>
        <w:t xml:space="preserve">A Survey on LLM-as-a-Judge.</w:t>
      </w:r>
      <w:r>
        <w:t xml:space="preserve"> </w:t>
      </w:r>
      <w:hyperlink r:id="rId84">
        <w:r>
          <w:rPr>
            <w:rStyle w:val="Hyperlink"/>
          </w:rPr>
          <w:t xml:space="preserve">arxiv.org/abs/2411.15594</w:t>
        </w:r>
      </w:hyperlink>
      <w:bookmarkEnd w:id="85"/>
    </w:p>
    <w:p>
      <w:pPr>
        <w:pStyle w:val="ReferenceEntry"/>
        <w:numPr>
          <w:ilvl w:val="0"/>
          <w:numId w:val="1002"/>
        </w:numPr>
        <w:jc w:val="left"/>
        <w:keepNext w:val="0"/>
        <w:keepLines w:val="0"/>
        <w:widowControl w:val="1"/>
      </w:pPr>
      <w:bookmarkStart w:id="87"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6">
        <w:r>
          <w:rPr>
            <w:rStyle w:val="Hyperlink"/>
          </w:rPr>
          <w:t xml:space="preserve">arxiv.org/abs/2411.16594</w:t>
        </w:r>
      </w:hyperlink>
      <w:bookmarkEnd w:id="87"/>
    </w:p>
    <w:p>
      <w:pPr>
        <w:pStyle w:val="ReferenceEntry"/>
        <w:numPr>
          <w:ilvl w:val="0"/>
          <w:numId w:val="1002"/>
        </w:numPr>
        <w:jc w:val="left"/>
        <w:keepNext w:val="0"/>
        <w:keepLines w:val="0"/>
        <w:widowControl w:val="1"/>
      </w:pPr>
      <w:bookmarkStart w:id="89"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8">
        <w:r>
          <w:rPr>
            <w:rStyle w:val="Hyperlink"/>
          </w:rPr>
          <w:t xml:space="preserve">arxiv.org/abs/2308.07201</w:t>
        </w:r>
      </w:hyperlink>
      <w:bookmarkEnd w:id="89"/>
    </w:p>
    <w:p>
      <w:pPr>
        <w:pStyle w:val="ReferenceEntry"/>
        <w:numPr>
          <w:ilvl w:val="0"/>
          <w:numId w:val="1002"/>
        </w:numPr>
        <w:jc w:val="left"/>
        <w:keepNext w:val="0"/>
        <w:keepLines w:val="0"/>
        <w:widowControl w:val="1"/>
      </w:pPr>
      <w:bookmarkStart w:id="91"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90">
        <w:r>
          <w:rPr>
            <w:rStyle w:val="Hyperlink"/>
          </w:rPr>
          <w:t xml:space="preserve">arxiv.org/abs/2406.19314</w:t>
        </w:r>
      </w:hyperlink>
      <w:bookmarkEnd w:id="91"/>
    </w:p>
    <w:p>
      <w:pPr>
        <w:pStyle w:val="ReferenceEntry"/>
        <w:numPr>
          <w:ilvl w:val="0"/>
          <w:numId w:val="1002"/>
        </w:numPr>
        <w:jc w:val="left"/>
        <w:keepNext w:val="0"/>
        <w:keepLines w:val="0"/>
        <w:widowControl w:val="1"/>
      </w:pPr>
      <w:bookmarkStart w:id="93"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92">
        <w:r>
          <w:rPr>
            <w:rStyle w:val="Hyperlink"/>
          </w:rPr>
          <w:t xml:space="preserve">arxiv.org/abs/2403.07974</w:t>
        </w:r>
      </w:hyperlink>
      <w:bookmarkEnd w:id="93"/>
    </w:p>
    <w:p>
      <w:pPr>
        <w:pStyle w:val="ReferenceEntry"/>
        <w:numPr>
          <w:ilvl w:val="0"/>
          <w:numId w:val="1002"/>
        </w:numPr>
        <w:jc w:val="left"/>
        <w:keepNext w:val="0"/>
        <w:keepLines w:val="0"/>
        <w:widowControl w:val="1"/>
      </w:pPr>
      <w:bookmarkStart w:id="95"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4">
        <w:r>
          <w:rPr>
            <w:rStyle w:val="Hyperlink"/>
          </w:rPr>
          <w:t xml:space="preserve">arxiv.org/abs/2504.03846</w:t>
        </w:r>
      </w:hyperlink>
      <w:bookmarkEnd w:id="95"/>
    </w:p>
    <w:p>
      <w:pPr>
        <w:pStyle w:val="ReferenceEntry"/>
        <w:numPr>
          <w:ilvl w:val="0"/>
          <w:numId w:val="1002"/>
        </w:numPr>
        <w:jc w:val="left"/>
        <w:keepNext w:val="0"/>
        <w:keepLines w:val="0"/>
        <w:widowControl w:val="1"/>
      </w:pPr>
      <w:bookmarkStart w:id="97"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6">
        <w:r>
          <w:rPr>
            <w:rStyle w:val="Hyperlink"/>
          </w:rPr>
          <w:t xml:space="preserve">arxiv.org/abs/2408.08808</w:t>
        </w:r>
      </w:hyperlink>
      <w:bookmarkEnd w:id="97"/>
    </w:p>
    <w:p>
      <w:pPr>
        <w:pStyle w:val="ReferenceEntry"/>
        <w:numPr>
          <w:ilvl w:val="0"/>
          <w:numId w:val="1002"/>
        </w:numPr>
        <w:jc w:val="left"/>
        <w:keepNext w:val="0"/>
        <w:keepLines w:val="0"/>
        <w:widowControl w:val="1"/>
      </w:pPr>
      <w:bookmarkStart w:id="99" w:name="r26"/>
      <w:r>
        <w:t xml:space="preserve">Li, Y., et al. (2025).</w:t>
      </w:r>
      <w:r>
        <w:t xml:space="preserve"> </w:t>
      </w:r>
      <w:r>
        <w:rPr>
          <w:i/>
          <w:iCs/>
        </w:rPr>
        <w:t xml:space="preserve">Leveraging LLMs as Meta-Judges: A Multi-Agent Framework.</w:t>
      </w:r>
      <w:r>
        <w:t xml:space="preserve"> </w:t>
      </w:r>
      <w:hyperlink r:id="rId98">
        <w:r>
          <w:rPr>
            <w:rStyle w:val="Hyperlink"/>
          </w:rPr>
          <w:t xml:space="preserve">arxiv.org/abs/2504.17087</w:t>
        </w:r>
      </w:hyperlink>
      <w:bookmarkEnd w:id="99"/>
    </w:p>
    <w:p>
      <w:pPr>
        <w:pStyle w:val="ReferenceEntry"/>
        <w:jc w:val="left"/>
        <w:keepNext w:val="0"/>
        <w:keepLines w:val="0"/>
        <w:widowControl w:val="1"/>
      </w:pPr>
      <w:r>
        <w:t xml:space="preserve">Preprint. Generated HTML build. © 2026 Alexander Apartsin &amp; Yehudit Aperstein.</w:t>
      </w:r>
    </w:p>
    <w:bookmarkEnd w:id="100"/>
    <w:bookmarkStart w:id="116" w:name="appendix-a-interactive-report-gallery"/>
    <w:p>
      <w:pPr>
        <w:pStyle w:val="Heading2"/>
        <w:keepNext/>
        <w:keepLines/>
        <w:widowControl w:val="1"/>
      </w:pPr>
      <w:r>
        <w:t xml:space="preserve">Appendix A: Interactive Report Gallery</w:t>
      </w:r>
    </w:p>
    <w:p>
      <w:pPr>
        <w:pStyle w:val="FirstParagraph"/>
        <w:jc w:val="both"/>
        <w:keepNext w:val="0"/>
        <w:keepLines w:val="0"/>
        <w:widowControl w:val="1"/>
      </w:pPr>
      <w:r>
        <w:t xml:space="preserve">Every CoEval run emits a suite of self-contained, interactive HTML reports (no external dependencies) alongside a</w:t>
      </w:r>
      <w:r>
        <w:t xml:space="preserve"> </w:t>
      </w:r>
      <w:r>
        <w:t xml:space="preserve">machine-readable benchmark export. The panels below are drawn from the four-task study of Section 5. They are</w:t>
      </w:r>
      <w:r>
        <w:t xml:space="preserve"> </w:t>
      </w:r>
      <w:r>
        <w:t xml:space="preserve">illustrative; the live reports support filtering, drill-down, and CSV export.</w:t>
      </w:r>
    </w:p>
    <w:p>
      <w:pPr>
        <w:pStyle w:val="BodyText"/>
        <w:jc w:val="center"/>
        <w:keepNext/>
        <w:keepLines/>
        <w:widowControl w:val="1"/>
      </w:pPr>
      <w:r>
        <w:drawing>
          <wp:inline>
            <wp:extent cx="5943600" cy="6605886"/>
            <wp:effectExtent b="0" l="0" r="0" t="0"/>
            <wp:docPr descr="CoEval summary dashboard" title="" id="102" name="Picture"/>
            <a:graphic>
              <a:graphicData uri="http://schemas.openxmlformats.org/drawingml/2006/picture">
                <pic:pic>
                  <pic:nvPicPr>
                    <pic:cNvPr descr="figures/gallery_fig_summary.png" id="103" name="Picture"/>
                    <pic:cNvPicPr>
                      <a:picLocks noChangeArrowheads="1" noChangeAspect="1"/>
                    </pic:cNvPicPr>
                  </pic:nvPicPr>
                  <pic:blipFill>
                    <a:blip r:embed="rId101"/>
                    <a:stretch>
                      <a:fillRect/>
                    </a:stretch>
                  </pic:blipFill>
                  <pic:spPr bwMode="auto">
                    <a:xfrm>
                      <a:off x="0" y="0"/>
                      <a:ext cx="5943600" cy="6605886"/>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A1.</w:t>
      </w:r>
      <w:r>
        <w:t xml:space="preserve"> </w:t>
      </w:r>
      <w:r>
        <w:t xml:space="preserve">Summary dashboard: model rankings, confidence intervals, and navigation.</w:t>
      </w:r>
    </w:p>
    <w:p>
      <w:pPr>
        <w:pStyle w:val="BodyText"/>
        <w:jc w:val="center"/>
        <w:keepNext/>
        <w:keepLines/>
        <w:widowControl w:val="1"/>
      </w:pPr>
      <w:r>
        <w:drawing>
          <wp:inline>
            <wp:extent cx="5943600" cy="7225719"/>
            <wp:effectExtent b="0" l="0" r="0" t="0"/>
            <wp:docPr descr="Judge agreement and reliability report" title="" id="105" name="Picture"/>
            <a:graphic>
              <a:graphicData uri="http://schemas.openxmlformats.org/drawingml/2006/picture">
                <pic:pic>
                  <pic:nvPicPr>
                    <pic:cNvPr descr="figures/gallery_fig_judge_report.png" id="106" name="Picture"/>
                    <pic:cNvPicPr>
                      <a:picLocks noChangeArrowheads="1" noChangeAspect="1"/>
                    </pic:cNvPicPr>
                  </pic:nvPicPr>
                  <pic:blipFill>
                    <a:blip r:embed="rId104"/>
                    <a:stretch>
                      <a:fillRect/>
                    </a:stretch>
                  </pic:blipFill>
                  <pic:spPr bwMode="auto">
                    <a:xfrm>
                      <a:off x="0" y="0"/>
                      <a:ext cx="5943600" cy="7225719"/>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A2.</w:t>
      </w:r>
      <w:r>
        <w:t xml:space="preserve"> </w:t>
      </w:r>
      <w:r>
        <w:t xml:space="preserve">Judge report: pairwise agreement, calibration, and reliability per judge.</w:t>
      </w:r>
    </w:p>
    <w:p>
      <w:pPr>
        <w:pStyle w:val="BodyText"/>
        <w:jc w:val="center"/>
        <w:keepNext/>
        <w:keepLines/>
        <w:widowControl w:val="1"/>
      </w:pPr>
      <w:r>
        <w:drawing>
          <wp:inline>
            <wp:extent cx="5943600" cy="9229561"/>
            <wp:effectExtent b="0" l="0" r="0" t="0"/>
            <wp:docPr descr="Attribute coverage summary report" title="" id="108" name="Picture"/>
            <a:graphic>
              <a:graphicData uri="http://schemas.openxmlformats.org/drawingml/2006/picture">
                <pic:pic>
                  <pic:nvPicPr>
                    <pic:cNvPr descr="figures/gallery_fig_coverage_summary.png" id="109" name="Picture"/>
                    <pic:cNvPicPr>
                      <a:picLocks noChangeArrowheads="1" noChangeAspect="1"/>
                    </pic:cNvPicPr>
                  </pic:nvPicPr>
                  <pic:blipFill>
                    <a:blip r:embed="rId107"/>
                    <a:stretch>
                      <a:fillRect/>
                    </a:stretch>
                  </pic:blipFill>
                  <pic:spPr bwMode="auto">
                    <a:xfrm>
                      <a:off x="0" y="0"/>
                      <a:ext cx="5943600" cy="9229561"/>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A3.</w:t>
      </w:r>
      <w:r>
        <w:t xml:space="preserve"> </w:t>
      </w:r>
      <w:r>
        <w:t xml:space="preserve">Coverage summary: attribute-coverage ratio and rare-stratum recall per task.</w:t>
      </w:r>
    </w:p>
    <w:p>
      <w:pPr>
        <w:pStyle w:val="BodyText"/>
        <w:jc w:val="center"/>
        <w:keepNext/>
        <w:keepLines/>
        <w:widowControl w:val="1"/>
      </w:pPr>
      <w:r>
        <w:drawing>
          <wp:inline>
            <wp:extent cx="5943600" cy="10974432"/>
            <wp:effectExtent b="0" l="0" r="0" t="0"/>
            <wp:docPr descr="Score distribution report" title="" id="111" name="Picture"/>
            <a:graphic>
              <a:graphicData uri="http://schemas.openxmlformats.org/drawingml/2006/picture">
                <pic:pic>
                  <pic:nvPicPr>
                    <pic:cNvPr descr="figures/gallery_fig_score_distribution.png" id="112" name="Picture"/>
                    <pic:cNvPicPr>
                      <a:picLocks noChangeArrowheads="1" noChangeAspect="1"/>
                    </pic:cNvPicPr>
                  </pic:nvPicPr>
                  <pic:blipFill>
                    <a:blip r:embed="rId110"/>
                    <a:stretch>
                      <a:fillRect/>
                    </a:stretch>
                  </pic:blipFill>
                  <pic:spPr bwMode="auto">
                    <a:xfrm>
                      <a:off x="0" y="0"/>
                      <a:ext cx="5943600" cy="10974432"/>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A4.</w:t>
      </w:r>
      <w:r>
        <w:t xml:space="preserve"> </w:t>
      </w:r>
      <w:r>
        <w:t xml:space="preserve">Score distribution: High/Medium/Low histograms, filterable by task and role.</w:t>
      </w:r>
    </w:p>
    <w:p>
      <w:pPr>
        <w:pStyle w:val="BodyText"/>
        <w:jc w:val="center"/>
        <w:keepNext/>
        <w:keepLines/>
        <w:widowControl w:val="1"/>
      </w:pPr>
      <w:r>
        <w:drawing>
          <wp:inline>
            <wp:extent cx="5943600" cy="7824324"/>
            <wp:effectExtent b="0" l="0" r="0" t="0"/>
            <wp:docPr descr="Teacher-student interaction matrix" title="" id="114" name="Picture"/>
            <a:graphic>
              <a:graphicData uri="http://schemas.openxmlformats.org/drawingml/2006/picture">
                <pic:pic>
                  <pic:nvPicPr>
                    <pic:cNvPr descr="figures/gallery_fig_interaction_matrix.png" id="115" name="Picture"/>
                    <pic:cNvPicPr>
                      <a:picLocks noChangeArrowheads="1" noChangeAspect="1"/>
                    </pic:cNvPicPr>
                  </pic:nvPicPr>
                  <pic:blipFill>
                    <a:blip r:embed="rId113"/>
                    <a:stretch>
                      <a:fillRect/>
                    </a:stretch>
                  </pic:blipFill>
                  <pic:spPr bwMode="auto">
                    <a:xfrm>
                      <a:off x="0" y="0"/>
                      <a:ext cx="5943600" cy="7824324"/>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A5.</w:t>
      </w:r>
      <w:r>
        <w:t xml:space="preserve"> </w:t>
      </w:r>
      <w:r>
        <w:t xml:space="preserve">Interaction matrix: teacher×student pair quality heatmap.</w:t>
      </w:r>
    </w:p>
    <w:bookmarkEnd w:id="116"/>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37" Type="http://schemas.openxmlformats.org/officeDocument/2006/relationships/image" Target="media/rId37.png"/><Relationship Id="rId41" Type="http://schemas.openxmlformats.org/officeDocument/2006/relationships/image" Target="media/rId41.png"/><Relationship Id="rId107" Type="http://schemas.openxmlformats.org/officeDocument/2006/relationships/image" Target="media/rId107.png"/><Relationship Id="rId113" Type="http://schemas.openxmlformats.org/officeDocument/2006/relationships/image" Target="media/rId113.png"/><Relationship Id="rId104" Type="http://schemas.openxmlformats.org/officeDocument/2006/relationships/image" Target="media/rId104.png"/><Relationship Id="rId110" Type="http://schemas.openxmlformats.org/officeDocument/2006/relationships/image" Target="media/rId110.png"/><Relationship Id="rId101" Type="http://schemas.openxmlformats.org/officeDocument/2006/relationships/image" Target="media/rId101.png"/><Relationship Id="rId74" Type="http://schemas.openxmlformats.org/officeDocument/2006/relationships/hyperlink" Target="https://arxiv.org/abs/2104.14337" TargetMode="External"/><Relationship Id="rId50" Type="http://schemas.openxmlformats.org/officeDocument/2006/relationships/hyperlink" Target="https://arxiv.org/abs/2303.16634" TargetMode="External"/><Relationship Id="rId48" Type="http://schemas.openxmlformats.org/officeDocument/2006/relationships/hyperlink" Target="https://arxiv.org/abs/2306.05685" TargetMode="External"/><Relationship Id="rId88" Type="http://schemas.openxmlformats.org/officeDocument/2006/relationships/hyperlink" Target="https://arxiv.org/abs/2308.07201" TargetMode="External"/><Relationship Id="rId92" Type="http://schemas.openxmlformats.org/officeDocument/2006/relationships/hyperlink" Target="https://arxiv.org/abs/2403.07974" TargetMode="External"/><Relationship Id="rId62" Type="http://schemas.openxmlformats.org/officeDocument/2006/relationships/hyperlink" Target="https://arxiv.org/abs/2404.04475" TargetMode="External"/><Relationship Id="rId56" Type="http://schemas.openxmlformats.org/officeDocument/2006/relationships/hyperlink" Target="https://arxiv.org/abs/2404.18796" TargetMode="External"/><Relationship Id="rId70" Type="http://schemas.openxmlformats.org/officeDocument/2006/relationships/hyperlink" Target="https://arxiv.org/abs/2405.00332" TargetMode="External"/><Relationship Id="rId52" Type="http://schemas.openxmlformats.org/officeDocument/2006/relationships/hyperlink" Target="https://arxiv.org/abs/2405.01535" TargetMode="External"/><Relationship Id="rId60" Type="http://schemas.openxmlformats.org/officeDocument/2006/relationships/hyperlink" Target="https://arxiv.org/abs/2406.05761" TargetMode="External"/><Relationship Id="rId90" Type="http://schemas.openxmlformats.org/officeDocument/2006/relationships/hyperlink" Target="https://arxiv.org/abs/2406.19314" TargetMode="External"/><Relationship Id="rId64" Type="http://schemas.openxmlformats.org/officeDocument/2006/relationships/hyperlink" Target="https://arxiv.org/abs/2407.08351" TargetMode="External"/><Relationship Id="rId54" Type="http://schemas.openxmlformats.org/officeDocument/2006/relationships/hyperlink" Target="https://arxiv.org/abs/2407.10817" TargetMode="External"/><Relationship Id="rId96" Type="http://schemas.openxmlformats.org/officeDocument/2006/relationships/hyperlink" Target="https://arxiv.org/abs/2408.08808" TargetMode="External"/><Relationship Id="rId80" Type="http://schemas.openxmlformats.org/officeDocument/2006/relationships/hyperlink" Target="https://arxiv.org/abs/2410.02736" TargetMode="External"/><Relationship Id="rId58" Type="http://schemas.openxmlformats.org/officeDocument/2006/relationships/hyperlink" Target="https://arxiv.org/abs/2410.12784" TargetMode="External"/><Relationship Id="rId82" Type="http://schemas.openxmlformats.org/officeDocument/2006/relationships/hyperlink" Target="https://arxiv.org/abs/2410.21819" TargetMode="External"/><Relationship Id="rId66" Type="http://schemas.openxmlformats.org/officeDocument/2006/relationships/hyperlink" Target="https://arxiv.org/abs/2410.22584" TargetMode="External"/><Relationship Id="rId84" Type="http://schemas.openxmlformats.org/officeDocument/2006/relationships/hyperlink" Target="https://arxiv.org/abs/2411.15594" TargetMode="External"/><Relationship Id="rId86" Type="http://schemas.openxmlformats.org/officeDocument/2006/relationships/hyperlink" Target="https://arxiv.org/abs/2411.16594" TargetMode="External"/><Relationship Id="rId76" Type="http://schemas.openxmlformats.org/officeDocument/2006/relationships/hyperlink" Target="https://arxiv.org/abs/2502.01534" TargetMode="External"/><Relationship Id="rId72" Type="http://schemas.openxmlformats.org/officeDocument/2006/relationships/hyperlink" Target="https://arxiv.org/abs/2502.14425" TargetMode="External"/><Relationship Id="rId68" Type="http://schemas.openxmlformats.org/officeDocument/2006/relationships/hyperlink" Target="https://arxiv.org/abs/2504.01833" TargetMode="External"/><Relationship Id="rId94" Type="http://schemas.openxmlformats.org/officeDocument/2006/relationships/hyperlink" Target="https://arxiv.org/abs/2504.03846" TargetMode="External"/><Relationship Id="rId98" Type="http://schemas.openxmlformats.org/officeDocument/2006/relationships/hyperlink" Target="https://arxiv.org/abs/2504.17087" TargetMode="External"/><Relationship Id="rId78" Type="http://schemas.openxmlformats.org/officeDocument/2006/relationships/hyperlink" Target="https://arxiv.org/abs/2508.06709"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4" Type="http://schemas.openxmlformats.org/officeDocument/2006/relationships/hyperlink" Target="https://arxiv.org/abs/2104.14337" TargetMode="External"/><Relationship Id="rId50" Type="http://schemas.openxmlformats.org/officeDocument/2006/relationships/hyperlink" Target="https://arxiv.org/abs/2303.16634" TargetMode="External"/><Relationship Id="rId48" Type="http://schemas.openxmlformats.org/officeDocument/2006/relationships/hyperlink" Target="https://arxiv.org/abs/2306.05685" TargetMode="External"/><Relationship Id="rId88" Type="http://schemas.openxmlformats.org/officeDocument/2006/relationships/hyperlink" Target="https://arxiv.org/abs/2308.07201" TargetMode="External"/><Relationship Id="rId92" Type="http://schemas.openxmlformats.org/officeDocument/2006/relationships/hyperlink" Target="https://arxiv.org/abs/2403.07974" TargetMode="External"/><Relationship Id="rId62" Type="http://schemas.openxmlformats.org/officeDocument/2006/relationships/hyperlink" Target="https://arxiv.org/abs/2404.04475" TargetMode="External"/><Relationship Id="rId56" Type="http://schemas.openxmlformats.org/officeDocument/2006/relationships/hyperlink" Target="https://arxiv.org/abs/2404.18796" TargetMode="External"/><Relationship Id="rId70" Type="http://schemas.openxmlformats.org/officeDocument/2006/relationships/hyperlink" Target="https://arxiv.org/abs/2405.00332" TargetMode="External"/><Relationship Id="rId52" Type="http://schemas.openxmlformats.org/officeDocument/2006/relationships/hyperlink" Target="https://arxiv.org/abs/2405.01535" TargetMode="External"/><Relationship Id="rId60" Type="http://schemas.openxmlformats.org/officeDocument/2006/relationships/hyperlink" Target="https://arxiv.org/abs/2406.05761" TargetMode="External"/><Relationship Id="rId90" Type="http://schemas.openxmlformats.org/officeDocument/2006/relationships/hyperlink" Target="https://arxiv.org/abs/2406.19314" TargetMode="External"/><Relationship Id="rId64" Type="http://schemas.openxmlformats.org/officeDocument/2006/relationships/hyperlink" Target="https://arxiv.org/abs/2407.08351" TargetMode="External"/><Relationship Id="rId54" Type="http://schemas.openxmlformats.org/officeDocument/2006/relationships/hyperlink" Target="https://arxiv.org/abs/2407.10817" TargetMode="External"/><Relationship Id="rId96" Type="http://schemas.openxmlformats.org/officeDocument/2006/relationships/hyperlink" Target="https://arxiv.org/abs/2408.08808" TargetMode="External"/><Relationship Id="rId80" Type="http://schemas.openxmlformats.org/officeDocument/2006/relationships/hyperlink" Target="https://arxiv.org/abs/2410.02736" TargetMode="External"/><Relationship Id="rId58" Type="http://schemas.openxmlformats.org/officeDocument/2006/relationships/hyperlink" Target="https://arxiv.org/abs/2410.12784" TargetMode="External"/><Relationship Id="rId82" Type="http://schemas.openxmlformats.org/officeDocument/2006/relationships/hyperlink" Target="https://arxiv.org/abs/2410.21819" TargetMode="External"/><Relationship Id="rId66" Type="http://schemas.openxmlformats.org/officeDocument/2006/relationships/hyperlink" Target="https://arxiv.org/abs/2410.22584" TargetMode="External"/><Relationship Id="rId84" Type="http://schemas.openxmlformats.org/officeDocument/2006/relationships/hyperlink" Target="https://arxiv.org/abs/2411.15594" TargetMode="External"/><Relationship Id="rId86" Type="http://schemas.openxmlformats.org/officeDocument/2006/relationships/hyperlink" Target="https://arxiv.org/abs/2411.16594" TargetMode="External"/><Relationship Id="rId76" Type="http://schemas.openxmlformats.org/officeDocument/2006/relationships/hyperlink" Target="https://arxiv.org/abs/2502.01534" TargetMode="External"/><Relationship Id="rId72" Type="http://schemas.openxmlformats.org/officeDocument/2006/relationships/hyperlink" Target="https://arxiv.org/abs/2502.14425" TargetMode="External"/><Relationship Id="rId68" Type="http://schemas.openxmlformats.org/officeDocument/2006/relationships/hyperlink" Target="https://arxiv.org/abs/2504.01833" TargetMode="External"/><Relationship Id="rId94" Type="http://schemas.openxmlformats.org/officeDocument/2006/relationships/hyperlink" Target="https://arxiv.org/abs/2504.03846" TargetMode="External"/><Relationship Id="rId98" Type="http://schemas.openxmlformats.org/officeDocument/2006/relationships/hyperlink" Target="https://arxiv.org/abs/2504.17087" TargetMode="External"/><Relationship Id="rId78" Type="http://schemas.openxmlformats.org/officeDocument/2006/relationships/hyperlink" Target="https://arxiv.org/abs/2508.067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2026-06-01T07:32:34Z</dcterms:created>
  <dcterms:modified xsi:type="dcterms:W3CDTF">2026-06-01T07:32:34Z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