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to it: a generic benchmark measures</w:t>
      </w:r>
      <w:r>
        <w:t xml:space="preserve"> </w:t>
      </w:r>
      <w:r>
        <w:t xml:space="preserve">average-case ability and need not reflect performance on a particular</w:t>
      </w:r>
      <w:r>
        <w:t xml:space="preserve"> </w:t>
      </w:r>
      <w:r>
        <w:rPr>
          <w:i/>
          <w:iCs/>
        </w:rPr>
        <w:t xml:space="preserve">sub-domain or sub-task</w:t>
      </w:r>
      <w:r>
        <w:t xml:space="preserve">, and its</w:t>
      </w:r>
      <w:r>
        <w:t xml:space="preserve"> </w:t>
      </w:r>
      <w:r>
        <w:t xml:space="preserve">scores are suspect when its items have</w:t>
      </w:r>
      <w:r>
        <w:t xml:space="preserve"> </w:t>
      </w:r>
      <w:r>
        <w:rPr>
          <w:i/>
          <w:iCs/>
        </w:rPr>
        <w:t xml:space="preserve">leaked into pretraining</w:t>
      </w:r>
      <w:r>
        <w:t xml:space="preserve"> </w:t>
      </w:r>
      <w:r>
        <w:t xml:space="preserve">and are recalled rather than solved. We</w:t>
      </w:r>
      <w:r>
        <w:t xml:space="preserve"> </w:t>
      </w:r>
      <w:r>
        <w:t xml:space="preserve">present</w:t>
      </w:r>
      <w:r>
        <w:t xml:space="preserve"> </w:t>
      </w:r>
      <w:r>
        <w:rPr>
          <w:b/>
          <w:bCs/>
        </w:rPr>
        <w:t xml:space="preserve">CoEval</w:t>
      </w:r>
      <w:r>
        <w:t xml:space="preserve">, an open framework that supplies a task-specific signal from a task or domain</w:t>
      </w:r>
      <w:r>
        <w:t xml:space="preserve"> </w:t>
      </w:r>
      <w:r>
        <w:t xml:space="preserve">description: a teacher model synthesizes a fresh, attribute-stratified benchmark with</w:t>
      </w:r>
      <w:r>
        <w:t xml:space="preserve"> </w:t>
      </w:r>
      <w:r>
        <w:rPr>
          <w:i/>
          <w:iCs/>
        </w:rPr>
        <w:t xml:space="preserve">no human labels</w:t>
      </w:r>
      <w:r>
        <w:t xml:space="preserve">, contamination-free because items are generated anew each run, and a vendor-disjoint</w:t>
      </w:r>
      <w:r>
        <w:t xml:space="preserve"> </w:t>
      </w:r>
      <w:r>
        <w:t xml:space="preserve">cross-family judge ensemble ranks candidate models with no human raters. Where ground truth exists, CoEval recovers</w:t>
      </w:r>
      <w:r>
        <w:t xml:space="preserve"> </w:t>
      </w:r>
      <w:r>
        <w:t xml:space="preserve">the true ranking and tracks objective correctness at $</w:t>
      </w:r>
      <w:r>
        <w:t xml:space="preserve"> </w:t>
      </w:r>
      <w:r>
        <w:t xml:space="preserve">ho = 0.86$, and a doubly-robust aggregator recovers the</w:t>
      </w:r>
      <w:r>
        <w:t xml:space="preserve"> </w:t>
      </w:r>
      <w:r>
        <w:t xml:space="preserve">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w:t>
      </w:r>
      <w:r>
        <w:t xml:space="preserve"> </w:t>
      </w:r>
      <w:r>
        <w:t xml:space="preserve">peer agreement is a label-free reliability estimate, so a small cross-family panel zeroes out broken judges, where a</w:t>
      </w:r>
      <w:r>
        <w:t xml:space="preserve"> </w:t>
      </w:r>
      <w:r>
        <w:t xml:space="preserve">single judge can be anti-correlated with ground truth (judge-choice regret</w:t>
      </w:r>
      <w:r>
        <w:t xml:space="preserve"> </w:t>
      </w:r>
      <m:oMath>
        <m:r>
          <m:t>0.35</m:t>
        </m:r>
      </m:oMath>
      <w:r>
        <w:t xml:space="preserve">) and the ensemble never is.</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w:t>
      </w:r>
      <w:r>
        <w:t xml:space="preserve"> </w:t>
      </w:r>
      <w:r>
        <w:t xml:space="preserve">and precludes same-family self-preference, and rankings are</w:t>
      </w:r>
      <w:r>
        <w:t xml:space="preserve"> </w:t>
      </w:r>
      <w:r>
        <w:rPr>
          <w:i/>
          <w:iCs/>
        </w:rPr>
        <w:t xml:space="preserve">domain-specific</w:t>
      </w:r>
      <w:r>
        <w:t xml:space="preserve">: three models win four de-novo</w:t>
      </w:r>
      <w:r>
        <w:t xml:space="preserve"> </w:t>
      </w:r>
      <w:r>
        <w:t xml:space="preserve">domains, so a generic leaderboard misdirects most practitioners. The same pipeline reruns on each model release,</w:t>
      </w:r>
      <w:r>
        <w:t xml:space="preserve"> </w:t>
      </w:r>
      <w:r>
        <w:t xml:space="preserve">giving any team a label-free, contamination-free leaderboard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2026-06-03T09:52:19Z</dcterms:created>
  <dcterms:modified xsi:type="dcterms:W3CDTF">2026-06-03T09:52:19Z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