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w:t>
      </w:r>
      <w:r>
        <w:rPr>
          <w:rFonts w:ascii="Georgia" w:hAnsi="Georgia"/>
          <w:b w:val="0"/>
          <w:i/>
          <w:sz w:val="20"/>
        </w:rPr>
        <w:t xml:space="preserve"> </w:t>
      </w:r>
      <w:r>
        <w:rPr>
          <w:rFonts w:ascii="Georgia" w:hAnsi="Georgia"/>
          <w:b w:val="0"/>
          <w:i/>
          <w:sz w:val="20"/>
        </w:rPr>
        <w:t xml:space="preserve">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Holon Institute of Technology, Israel  ·  </w:t>
      </w:r>
      <w:r>
        <w:rPr>
          <w:rFonts w:ascii="Georgia" w:hAnsi="Georgia"/>
          <w:b w:val="0"/>
          <w:i/>
          <w:sz w:val="20"/>
          <w:vertAlign w:val="superscript"/>
        </w:rPr>
        <w:t xml:space="preserve">2</w:t>
      </w:r>
      <w:r>
        <w:rPr>
          <w:rFonts w:ascii="Georgia" w:hAnsi="Georgia"/>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measures average-case</w:t>
      </w:r>
      <w:r>
        <w:t xml:space="preserve"> </w:t>
      </w:r>
      <w:r>
        <w:t xml:space="preserve">ability and need not reflect a particular</w:t>
      </w:r>
      <w:r>
        <w:t xml:space="preserve"> </w:t>
      </w:r>
      <w:r>
        <w:rPr>
          <w:i/>
          <w:iCs/>
        </w:rPr>
        <w:t xml:space="preserve">sub-domain or sub-task</w:t>
      </w:r>
      <w:r>
        <w:t xml:space="preserve">, and its scores are suspect when its items</w:t>
      </w:r>
      <w:r>
        <w:t xml:space="preserve"> </w:t>
      </w:r>
      <w:r>
        <w:t xml:space="preserve">have</w:t>
      </w:r>
      <w:r>
        <w:t xml:space="preserve"> </w:t>
      </w:r>
      <w:r>
        <w:rPr>
          <w:i/>
          <w:iCs/>
        </w:rPr>
        <w:t xml:space="preserve">leaked into pretraining</w:t>
      </w:r>
      <w:r>
        <w:t xml:space="preserve"> </w:t>
      </w:r>
      <w:r>
        <w:t xml:space="preserve">and are recalled rather than solved. We present</w:t>
      </w:r>
      <w:r>
        <w:t xml:space="preserve"> </w:t>
      </w:r>
      <w:r>
        <w:rPr>
          <w:b/>
          <w:bCs/>
        </w:rPr>
        <w:t xml:space="preserve">CoEval</w:t>
      </w:r>
      <w:r>
        <w:t xml:space="preserve">, an</w:t>
      </w:r>
      <w:r>
        <w:t xml:space="preserve"> </w:t>
      </w:r>
      <w:r>
        <w:t xml:space="preserve">open framework that supplies a trustworthy, task-specific signal through</w:t>
      </w:r>
      <w:r>
        <w:t xml:space="preserve"> </w:t>
      </w:r>
      <w:r>
        <w:rPr>
          <w:i/>
          <w:iCs/>
        </w:rPr>
        <w:t xml:space="preserve">ensemble self-evaluation</w:t>
      </w:r>
      <w:r>
        <w:t xml:space="preserve">: from a</w:t>
      </w:r>
      <w:r>
        <w:t xml:space="preserve"> </w:t>
      </w:r>
      <w:r>
        <w:t xml:space="preserve">task or domain description, a pool of models is rotated through teacher and judge roles to generate a fresh,</w:t>
      </w:r>
      <w:r>
        <w:t xml:space="preserve"> </w:t>
      </w:r>
      <w:r>
        <w:t xml:space="preserve">contamination-free benchmark and score the candidates with no human labels or raters, jointly weighted by each</w:t>
      </w:r>
      <w:r>
        <w:t xml:space="preserve"> </w:t>
      </w:r>
      <w:r>
        <w:t xml:space="preserve">question's discriminative power and each judge's consensus with the panel. Where ground truth exists, this</w:t>
      </w:r>
      <w:r>
        <w:t xml:space="preserve"> </w:t>
      </w:r>
      <w:r>
        <w:t xml:space="preserve">weighting recovers the true ranking and tracks objective correctness at</w:t>
      </w:r>
      <w:r>
        <w:t xml:space="preserve"> </w:t>
      </w:r>
      <m:oMath>
        <m:r>
          <m:t>ρ</m:t>
        </m:r>
        <m:r>
          <m:rPr>
            <m:sty m:val="p"/>
          </m:rPr>
          <m:t>=</m:t>
        </m:r>
        <m:r>
          <m:t>0.86</m:t>
        </m:r>
      </m:oMath>
      <w:r>
        <w:t xml:space="preserve">, recovering the gold ranking</w:t>
      </w:r>
      <w:r>
        <w:t xml:space="preserve"> </w:t>
      </w:r>
      <w:r>
        <w:t xml:space="preserve">of thirteen models at Spearman</w:t>
      </w:r>
      <w:r>
        <w:t xml:space="preserve"> </w:t>
      </w:r>
      <m:oMath>
        <m:r>
          <m:t>0.95</m:t>
        </m:r>
      </m:oMath>
      <w:r>
        <w:t xml:space="preserve">. Reliability comes from panel</w:t>
      </w:r>
      <w:r>
        <w:t xml:space="preserve"> </w:t>
      </w:r>
      <w:r>
        <w:rPr>
          <w:i/>
          <w:iCs/>
        </w:rPr>
        <w:t xml:space="preserve">composition</w:t>
      </w:r>
      <w:r>
        <w:t xml:space="preserve">, not size: peer agreement</w:t>
      </w:r>
      <w:r>
        <w:t xml:space="preserve"> </w:t>
      </w:r>
      <w:r>
        <w:t xml:space="preserve">is a label-free reliability estimate, so a cross-family panel zeroes out broken judges, where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w:r>
        <w:rPr>
          <w:i/>
          <w:iCs/>
        </w:rPr>
        <w:t xml:space="preserve">zero</w:t>
      </w:r>
      <w:r>
        <w:t xml:space="preserve"> </w:t>
      </w:r>
      <w:r>
        <w:t xml:space="preserve">verbatim overlap with five public benchmarks, the panel cancels verbosity bias and precludes</w:t>
      </w:r>
      <w:r>
        <w:t xml:space="preserve"> </w:t>
      </w:r>
      <w:r>
        <w:t xml:space="preserve">same-family self-preference, and rankings are</w:t>
      </w:r>
      <w:r>
        <w:t xml:space="preserve"> </w:t>
      </w:r>
      <w:r>
        <w:rPr>
          <w:i/>
          <w:iCs/>
        </w:rPr>
        <w:t xml:space="preserve">domain-specific</w:t>
      </w:r>
      <w:r>
        <w:t xml:space="preserve">: three models win four de-novo domains, so a</w:t>
      </w:r>
      <w:r>
        <w:t xml:space="preserve"> </w:t>
      </w:r>
      <w:r>
        <w:t xml:space="preserve">generic leaderboard misdirects most practitioners. The same pipeline reruns on each model release, giving any team a</w:t>
      </w:r>
      <w:r>
        <w:t xml:space="preserve"> </w:t>
      </w:r>
      <w:r>
        <w:t xml:space="preserve">contamination-free leaderboard for its own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This per-domain ranking is necessary rather than cosmetic: across four</w:t>
      </w:r>
      <w:r>
        <w:t xml:space="preserve"> </w:t>
      </w:r>
      <w:r>
        <w:t xml:space="preserve">de-novo domains three different models take first place (Section 5.8), so a single generic leaderboard</w:t>
      </w:r>
      <w:r>
        <w:t xml:space="preserve"> </w:t>
      </w:r>
      <w:r>
        <w:t xml:space="preserve">misdirects most domain practitioners.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28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5.2 reliability (5.1 summ. anchor)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200 memorized / 100 fresh</w:t>
            </w:r>
          </w:p>
        </w:tc>
      </w:tr>
    </w:tbl>
    <w:bookmarkEnd w:id="23"/>
    <w:bookmarkStart w:id="4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5.6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280" w:after="60" w:line="240" w:lineRule="auto"/>
        <w:jc w:val="center"/>
        <w:keepNext/>
        <w:keepLines/>
        <w:widowControl w:val="1"/>
      </w:pPr>
      <m:oMath>
        <m:r>
          <m:t>191</m:t>
        </m:r>
      </m:oMath>
      <m:oMath>
        <m:r>
          <m:t>573</m:t>
        </m:r>
      </m:oMath>
      <m:oMath>
        <m:r>
          <m:t>ρ</m:t>
        </m:r>
        <m:r>
          <m:rPr>
            <m:sty m:val="p"/>
          </m:rPr>
          <m:t>=</m:t>
        </m:r>
        <m:r>
          <m:t>0.86</m:t>
        </m:r>
      </m:oMath>
      <m:oMath>
        <m:r>
          <m:t>3</m:t>
        </m:r>
      </m:oMath>
      <m:oMath>
        <m:r>
          <m:t>8</m:t>
        </m:r>
      </m:oMath>
      <w:r>
        <w:rPr>
          <w:b/>
          <w:i/>
        </w:rPr>
        <w:t>Table 2.</w:t>
      </w:r>
      <w:r>
        <w:rPr>
          <w:b w:val="0"/>
          <w:i/>
        </w:rPr>
        <w:t xml:space="preserve"> </w:t>
      </w:r>
      <w:r>
        <w:rPr>
          <w:b w:val="0"/>
          <w:i/>
        </w:rPr>
        <w:t>Spearman correlation of CoEval accuracy scores with ground-truth correctness on exact-match QA (SciQ, ARC-Challenge;  datapoints,  responses; datapoint-clustered 95% bootstrap CI). The frontier cross-family ensemble tracks ground truth at . The three frontier judges agree on every item; crucially, the weaker auxiliary judges they are contrasted against (Section 5.2) disagree on –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+0.859</w:t>
            </w:r>
            <w:r>
              <w:rPr>
                <w:rFonts w:ascii="Georgia" w:hAnsi="Georgia"/>
                <w:sz w:val="20"/>
              </w:rPr>
              <w:t xml:space="preserve"> </w:t>
            </w:r>
            <w:r>
              <w:rPr>
                <w:rFonts w:ascii="Georgia" w:hAnsi="Georgia"/>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+0.859</w:t>
            </w:r>
          </w:p>
        </w:tc>
      </w:tr>
    </w:tbl>
    <w:p>
      <w:pPr>
        <w:pStyle w:val="BodyText"/>
        <w:spacing w:before="24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is a gamble one cannot hedge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0.02</m:t>
        </m:r>
      </m:oMath>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 and the order gpt-4o-mini &gt; gpt-3.5-turbo &gt; llama-3.2-3b is reproduced exactly (cf. Table 3).</w:t>
      </w:r>
    </w:p>
    <w:p>
      <w:pPr>
        <w:pStyle w:val="TableCaption"/>
        <w:spacing w:before="28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0.832</w:t>
            </w:r>
          </w:p>
        </w:tc>
      </w:tr>
    </w:tbl>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I</m:t>
        </m:r>
        <m:r>
          <m:rPr>
            <m:sty m:val="p"/>
          </m:rPr>
          <m:t>C</m:t>
        </m:r>
        <m:r>
          <m:rPr>
            <m:sty m:val="p"/>
          </m:rPr>
          <m:t>C</m:t>
        </m:r>
        <m:r>
          <m:rPr>
            <m:sty m:val="p"/>
          </m:rPr>
          <m:t>(</m:t>
        </m:r>
        <m:r>
          <m:t>3</m:t>
        </m:r>
        <m:r>
          <m:rPr>
            <m:sty m:val="p"/>
          </m:rPr>
          <m:t>,</m:t>
        </m:r>
        <m:r>
          <m:t>k</m:t>
        </m:r>
        <m:r>
          <m:rPr>
            <m:sty m:val="p"/>
          </m:rPr>
          <m:t>)</m:t>
        </m:r>
      </m:oMath>
      <m:oMath>
        <m:r>
          <m:rPr>
            <m:sty m:val="p"/>
          </m:rPr>
          <m:t>I</m:t>
        </m:r>
        <m:r>
          <m:rPr>
            <m:sty m:val="p"/>
          </m:rPr>
          <m:t>C</m:t>
        </m:r>
        <m:r>
          <m:rPr>
            <m:sty m:val="p"/>
          </m:rPr>
          <m:t>C</m:t>
        </m:r>
        <m:r>
          <m:rPr>
            <m:sty m:val="p"/>
          </m:rPr>
          <m:t>=</m:t>
        </m:r>
        <m:r>
          <m:t>0.70</m:t>
        </m:r>
      </m:oMath>
      <w:r>
        <w:rPr>
          <w:b/>
          <w:i/>
        </w:rPr>
        <w:t>Figure 3.</w:t>
      </w:r>
      <w:r>
        <w:rPr>
          <w:b w:val="0"/>
          <w:i/>
        </w:rPr>
        <w:t xml:space="preserve"> </w:t>
      </w:r>
      <w:r>
        <w:rPr>
          <w:b w:val="0"/>
          <w:i/>
        </w:rPr>
        <w:t>Composition over size. Average-measures reliability  as judges are added in descending agreement order. A selected strong panel reaches ; indiscriminately adding low-agreement judges lowers the mean inter-rater correlation faster than averaging compensates, so reliability falls. CoEval's consensus selection retains the high-agreement judges, delivering the reliable configuration 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 </w:t>
      </w:r>
      <w:r>
        <w:t xml:space="preserve">(Table 4).</w:t>
      </w:r>
    </w:p>
    <w:p>
      <w:pPr>
        <w:pStyle w:val="TableCaption"/>
        <w:spacing w:before="280" w:after="60" w:line="240" w:lineRule="auto"/>
        <w:jc w:val="center"/>
        <w:keepNext/>
        <w:keepLines/>
        <w:widowControl w:val="1"/>
      </w:pPr>
      <m:oMath>
        <m:r>
          <m:t>0.00</m:t>
        </m:r>
      </m:oMath>
      <w:r>
        <w:rPr>
          <w:b/>
          <w:i/>
        </w:rPr>
        <w:t>Table 4.</w:t>
      </w:r>
      <w:r>
        <w:rPr>
          <w:b w:val="0"/>
          <w:i/>
        </w:rPr>
        <w:t xml:space="preserve"> </w:t>
      </w:r>
      <w:r>
        <w:rPr>
          <w:b w:val="0"/>
          <w:i/>
        </w:rPr>
        <w:t>Doubly-robust rank-recovery on thirteen candidate models (science QA and reasoning; gold = benchmark-native accuracy). Each label-free weight helps on its own, and the two compose into the best recovery; the aggregator is robust to an injected random judge, which it gives weight .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Doubly-robust rank-recovery on thirteen candidate models (science QA and reasoning; gold = benchmark-native accuracy). Each label-free weight helps on its own, and the two compose into the best recovery; the aggregator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Plain mean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Item-weighted (discrimination) 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Judge-weighted (agreement) 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Doubly-robust (both)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with injected random judge: plain mean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0.71</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with injected random judge: doubly-robust</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0.95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0.87</w:t>
            </w:r>
          </w:p>
        </w:tc>
      </w:tr>
    </w:tbl>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280" w:after="60" w:line="240" w:lineRule="auto"/>
        <w:jc w:val="center"/>
        <w:keepNext/>
        <w:keepLines/>
        <w:widowControl w:val="1"/>
      </w:pPr>
      <m:oMath>
        <m:r>
          <m:t>r</m:t>
        </m:r>
      </m:oMath>
      <w:r>
        <w:rPr>
          <w:b/>
          <w:i/>
        </w:rPr>
        <w:t>Table 5.</w:t>
      </w:r>
      <w:r>
        <w:rPr>
          <w:b w:val="0"/>
          <w:i/>
        </w:rPr>
        <w:t xml:space="preserve"> </w:t>
      </w:r>
      <w:r>
        <w:rPr>
          <w:b w:val="0"/>
          <w:i/>
        </w:rPr>
        <w:t>Verbosity bias (Pearson  between response length and score) for representative individual judges versus the CoEval ensemble. The ensemble CI includes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Panel mean</w:t>
            </w:r>
            <w:r>
              <w:rPr>
                <w:rFonts w:ascii="Georgia" w:hAnsi="Georgia"/>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r</m:t>
        </m:r>
        <m:r>
          <m:rPr>
            <m:sty m:val="p"/>
          </m:rPr>
          <m:t>=</m:t>
        </m:r>
        <m:r>
          <m:rPr>
            <m:sty m:val="p"/>
          </m:rPr>
          <m:t>+</m:t>
        </m:r>
        <m:r>
          <m:t>0.010</m:t>
        </m:r>
      </m:oMath>
      <w:r>
        <w:rPr>
          <w:b/>
          <w:i/>
        </w:rPr>
        <w:t>Figure 4.</w:t>
      </w:r>
      <w:r>
        <w:rPr>
          <w:b w:val="0"/>
          <w:i/>
        </w:rPr>
        <w:t xml:space="preserve"> </w:t>
      </w:r>
      <w:r>
        <w:rPr>
          <w:b w:val="0"/>
          <w:i/>
        </w:rPr>
        <w:t>Verbosity bias by judge. Each judge's Pearson correlation between response length and score (point) with its 95% bootstrap CI; the ensemble (green) sits at  with a CI spanning zero. 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falls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0.016</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pStyle w:val="TableCaption"/>
        <w:spacing w:before="280" w:after="60" w:line="240" w:lineRule="auto"/>
        <w:jc w:val="center"/>
        <w:keepNext/>
        <w:keepLines/>
        <w:widowControl w:val="1"/>
      </w:pPr>
      <m:oMath>
        <m:r>
          <m:rPr>
            <m:sty m:val="p"/>
          </m:rPr>
          <m:t>[</m:t>
        </m:r>
        <m:r>
          <m:t>0</m:t>
        </m:r>
        <m:r>
          <m:rPr>
            <m:sty m:val="p"/>
          </m:rPr>
          <m:t>,</m:t>
        </m:r>
        <m:r>
          <m:t>1</m:t>
        </m:r>
        <m:r>
          <m:rPr>
            <m:sty m:val="p"/>
          </m:rPr>
          <m:t>]</m:t>
        </m:r>
      </m:oMath>
      <m:oMath>
        <m:r>
          <m:t>40</m:t>
        </m:r>
      </m:oMath>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 with 95% bootstrap CI over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Drug–drug interaction reasoning</w:t>
            </w:r>
            <w:r>
              <w:rPr>
                <w:rFonts w:ascii="Georgia" w:hAnsi="Georgia"/>
                <w:sz w:val="20"/>
              </w:rPr>
              <w:t xml:space="preserve"> </w:t>
            </w:r>
            <w:r>
              <w:rPr>
                <w:rFonts w:ascii="Georgia" w:hAnsi="Georgia"/>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0.709 [0.677, 0.744]</w:t>
            </w:r>
          </w:p>
        </w:tc>
      </w:tr>
    </w:tbl>
    <w:bookmarkEnd w:id="39"/>
    <w:bookmarkStart w:id="40"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7).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BodyText"/>
        <w:jc w:val="both"/>
        <w:keepNext w:val="0"/>
        <w:keepLines w:val="0"/>
        <w:widowControl w:val="1"/>
      </w:pPr>
      <w:r>
        <w:rPr>
          <w:b/>
          <w:bCs/>
        </w:rPr>
        <w:t xml:space="preserve">Finding (domain-specific ranking).</w:t>
      </w:r>
      <w:r>
        <w:t xml:space="preserve"> </w:t>
      </w:r>
      <w:r>
        <w:t xml:space="preserve">Across four de-novo domains scored by one vendor-disjoint panel</w:t>
      </w:r>
      <w:r>
        <w:t xml:space="preserve"> </w:t>
      </w:r>
      <w:r>
        <w:t xml:space="preserve">(</w:t>
      </w:r>
      <m:oMath>
        <m:r>
          <m:t>1</m:t>
        </m:r>
        <m:r>
          <m:rPr>
            <m:sty m:val="p"/>
          </m:rPr>
          <m:t>,</m:t>
        </m:r>
        <m:r>
          <m:t>800</m:t>
        </m:r>
      </m:oMath>
      <w:r>
        <w:t xml:space="preserve"> </w:t>
      </w:r>
      <w:r>
        <w:t xml:space="preserve">evaluations), three different models take first place and the mean cross-domain rank agreement is weak</w:t>
      </w:r>
      <w:r>
        <w:t xml:space="preserve"> </w:t>
      </w:r>
      <w:r>
        <w:t xml:space="preserve">(Kendall </w:t>
      </w:r>
      <m:oMath>
        <m:r>
          <m:t>τ</m:t>
        </m:r>
        <m:r>
          <m:rPr>
            <m:sty m:val="p"/>
          </m:rPr>
          <m:t>=</m:t>
        </m:r>
        <m:r>
          <m:t>0.19</m:t>
        </m:r>
      </m:oMath>
      <w:r>
        <w:t xml:space="preserve">); the winners are bootstrap-stable (</w:t>
      </w:r>
      <m:oMath>
        <m:r>
          <m:t>P</m:t>
        </m:r>
        <m:r>
          <m:rPr>
            <m:sty m:val="p"/>
          </m:rPr>
          <m:t>(</m:t>
        </m:r>
        <m:r>
          <m:rPr>
            <m:nor/>
            <m:sty m:val="p"/>
          </m:rPr>
          <m:t>top</m:t>
        </m:r>
        <m:r>
          <m:rPr>
            <m:sty m:val="p"/>
          </m:rPr>
          <m:t>)</m:t>
        </m:r>
        <m:r>
          <m:rPr>
            <m:sty m:val="p"/>
          </m:rPr>
          <m:t>=</m:t>
        </m:r>
        <m:r>
          <m:t>0.88</m:t>
        </m:r>
      </m:oMath>
      <w:r>
        <w:t xml:space="preserve">–</w:t>
      </w:r>
      <m:oMath>
        <m:r>
          <m:t>1.00</m:t>
        </m:r>
      </m:oMath>
      <w:r>
        <w:t xml:space="preserve">). A generic</w:t>
      </w:r>
      <w:r>
        <w:t xml:space="preserve"> </w:t>
      </w:r>
      <w:r>
        <w:t xml:space="preserve">leaderboard that pools the domains crowns a model that is domain-best in only one of the four, so a single number</w:t>
      </w:r>
      <w:r>
        <w:t xml:space="preserve"> </w:t>
      </w:r>
      <w:r>
        <w:t xml:space="preserve">misdirects three of four domain practitioners. Domain-specific evaluation is the operation CoEval is built to perform.</w:t>
      </w:r>
    </w:p>
    <w:p>
      <w:pPr>
        <w:pStyle w:val="TableCaption"/>
        <w:spacing w:before="280" w:after="60" w:line="240" w:lineRule="auto"/>
        <w:jc w:val="center"/>
        <w:keepNext/>
        <w:keepLines/>
        <w:widowControl w:val="1"/>
      </w:pPr>
      <m:oMath>
        <m:r>
          <m:t>1</m:t>
        </m:r>
      </m:oMath>
      <m:oMath>
        <m:r>
          <m:t>1</m:t>
        </m:r>
      </m:oMath>
      <m:oMath>
        <m:r>
          <m:t>5</m:t>
        </m:r>
      </m:oMath>
      <m:oMath>
        <m:r>
          <m:t>5</m:t>
        </m:r>
      </m:oMath>
      <m:oMath>
        <m:r>
          <m:t>1</m:t>
        </m:r>
      </m:oMath>
      <w:r>
        <w:rPr>
          <w:b/>
          <w:i/>
        </w:rPr>
        <w:t>Table 7.</w:t>
      </w:r>
      <w:r>
        <w:rPr>
          <w:b w:val="0"/>
          <w:i/>
        </w:rPr>
        <w:t xml:space="preserve"> </w:t>
      </w:r>
      <w:r>
        <w:rPr>
          <w:b w:val="0"/>
          <w:i/>
        </w:rPr>
        <w:t>The same six candidate models ranked by the same cross-family panel on four CoEval-generated domains diverge: each cell is the model's rank ( = best) in that domain, rows ordered by the generic pooled leaderboard. Three distinct models win the four domains (highlighted), and the pooled-best model (gemini-flash) is domain-best in only one. gpt-4o-mini swings from st to th and claude-3.5-haiku from th to st across domains.</w:t>
      </w:r>
    </w:p>
    <w:tbl>
      <w:tblPr>
        <w:tblStyle w:val="Table"/>
        <w:tblW w:type="pct" w:w="5000"/>
        <w:jc w:val="center"/>
        <w:tblLook w:firstRow="1" w:lastRow="0" w:firstColumn="0" w:lastColumn="0" w:noHBand="0" w:noVBand="0" w:val="0020"/>
        <w:tblCaption w:val="Table 7.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claude-3.5-haiku</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qwen-2.5-7b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llama-3.1-8b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6</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Georgia" w:hAnsi="Georgia"/>
                <w:sz w:val="20"/>
              </w:rPr>
              <w:t xml:space="preserve">gpt-3.5-turbo</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3</w:t>
            </w:r>
          </w:p>
        </w:tc>
      </w:tr>
    </w:tbl>
    <w:bookmarkEnd w:id="40"/>
    <w:bookmarkEnd w:id="41"/>
    <w:bookmarkStart w:id="4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5.8),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2"/>
    <w:bookmarkStart w:id="4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and fully reproducible.</w:t>
      </w:r>
    </w:p>
    <w:bookmarkEnd w:id="43"/>
    <w:bookmarkStart w:id="110"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20"/>
        </w:rPr>
        <w:t xml:space="preserve">1. </w:t>
      </w:r>
      <w:bookmarkStart w:id="45"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4">
        <w:r>
          <w:rPr>
            <w:rStyle w:val="Hyperlink"/>
          </w:rPr>
          <w:t xml:space="preserve">arxiv.org/abs/2306.05685</w:t>
        </w:r>
      </w:hyperlink>
      <w:bookmarkEnd w:id="45"/>
    </w:p>
    <w:p>
      <w:pPr>
        <w:pStyle w:val="ReferenceEntry"/>
        <w:numPr>
          <w:ilvl w:val="0"/>
          <w:numId w:val="1002"/>
        </w:numPr>
        <w:spacing w:after="60"/>
        <w:ind w:left="360" w:hanging="259"/>
        <w:jc w:val="left"/>
        <w:keepNext w:val="0"/>
        <w:keepLines w:val="0"/>
        <w:widowControl w:val="1"/>
      </w:pPr>
      <w:r>
        <w:rPr>
          <w:rFonts w:ascii="Georgia" w:hAnsi="Georgia"/>
          <w:sz w:val="20"/>
        </w:rPr>
        <w:t xml:space="preserve">2. </w:t>
      </w:r>
      <w:bookmarkStart w:id="47"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6">
        <w:r>
          <w:rPr>
            <w:rStyle w:val="Hyperlink"/>
          </w:rPr>
          <w:t xml:space="preserve">arxiv.org/abs/2303.16634</w:t>
        </w:r>
      </w:hyperlink>
      <w:bookmarkEnd w:id="47"/>
    </w:p>
    <w:p>
      <w:pPr>
        <w:pStyle w:val="ReferenceEntry"/>
        <w:numPr>
          <w:ilvl w:val="0"/>
          <w:numId w:val="1002"/>
        </w:numPr>
        <w:spacing w:after="60"/>
        <w:ind w:left="360" w:hanging="259"/>
        <w:jc w:val="left"/>
        <w:keepNext w:val="0"/>
        <w:keepLines w:val="0"/>
        <w:widowControl w:val="1"/>
      </w:pPr>
      <w:r>
        <w:rPr>
          <w:rFonts w:ascii="Georgia" w:hAnsi="Georgia"/>
          <w:sz w:val="20"/>
        </w:rPr>
        <w:t xml:space="preserve">3. </w:t>
      </w:r>
      <w:bookmarkStart w:id="49"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8">
        <w:r>
          <w:rPr>
            <w:rStyle w:val="Hyperlink"/>
          </w:rPr>
          <w:t xml:space="preserve">arxiv.org/abs/2405.01535</w:t>
        </w:r>
      </w:hyperlink>
      <w:bookmarkEnd w:id="49"/>
    </w:p>
    <w:p>
      <w:pPr>
        <w:pStyle w:val="ReferenceEntry"/>
        <w:numPr>
          <w:ilvl w:val="0"/>
          <w:numId w:val="1002"/>
        </w:numPr>
        <w:spacing w:after="60"/>
        <w:ind w:left="360" w:hanging="259"/>
        <w:jc w:val="left"/>
        <w:keepNext w:val="0"/>
        <w:keepLines w:val="0"/>
        <w:widowControl w:val="1"/>
      </w:pPr>
      <w:r>
        <w:rPr>
          <w:rFonts w:ascii="Georgia" w:hAnsi="Georgia"/>
          <w:sz w:val="20"/>
        </w:rPr>
        <w:t xml:space="preserve">4. </w:t>
      </w:r>
      <w:bookmarkStart w:id="51"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0">
        <w:r>
          <w:rPr>
            <w:rStyle w:val="Hyperlink"/>
          </w:rPr>
          <w:t xml:space="preserve">arxiv.org/abs/2407.10817</w:t>
        </w:r>
      </w:hyperlink>
      <w:bookmarkEnd w:id="51"/>
    </w:p>
    <w:p>
      <w:pPr>
        <w:pStyle w:val="ReferenceEntry"/>
        <w:numPr>
          <w:ilvl w:val="0"/>
          <w:numId w:val="1002"/>
        </w:numPr>
        <w:spacing w:after="60"/>
        <w:ind w:left="360" w:hanging="259"/>
        <w:jc w:val="left"/>
        <w:keepNext w:val="0"/>
        <w:keepLines w:val="0"/>
        <w:widowControl w:val="1"/>
      </w:pPr>
      <w:r>
        <w:rPr>
          <w:rFonts w:ascii="Georgia" w:hAnsi="Georgia"/>
          <w:sz w:val="20"/>
        </w:rPr>
        <w:t xml:space="preserve">5. </w:t>
      </w:r>
      <w:bookmarkStart w:id="53"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2">
        <w:r>
          <w:rPr>
            <w:rStyle w:val="Hyperlink"/>
          </w:rPr>
          <w:t xml:space="preserve">arxiv.org/abs/2404.18796</w:t>
        </w:r>
      </w:hyperlink>
      <w:bookmarkEnd w:id="53"/>
    </w:p>
    <w:p>
      <w:pPr>
        <w:pStyle w:val="ReferenceEntry"/>
        <w:numPr>
          <w:ilvl w:val="0"/>
          <w:numId w:val="1002"/>
        </w:numPr>
        <w:spacing w:after="60"/>
        <w:ind w:left="360" w:hanging="259"/>
        <w:jc w:val="left"/>
        <w:keepNext w:val="0"/>
        <w:keepLines w:val="0"/>
        <w:widowControl w:val="1"/>
      </w:pPr>
      <w:r>
        <w:rPr>
          <w:rFonts w:ascii="Georgia" w:hAnsi="Georgia"/>
          <w:sz w:val="20"/>
        </w:rPr>
        <w:t xml:space="preserve">6. </w:t>
      </w:r>
      <w:bookmarkStart w:id="55"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4">
        <w:r>
          <w:rPr>
            <w:rStyle w:val="Hyperlink"/>
          </w:rPr>
          <w:t xml:space="preserve">arxiv.org/abs/2410.12784</w:t>
        </w:r>
      </w:hyperlink>
      <w:bookmarkEnd w:id="55"/>
    </w:p>
    <w:p>
      <w:pPr>
        <w:pStyle w:val="ReferenceEntry"/>
        <w:numPr>
          <w:ilvl w:val="0"/>
          <w:numId w:val="1002"/>
        </w:numPr>
        <w:spacing w:after="60"/>
        <w:ind w:left="360" w:hanging="259"/>
        <w:jc w:val="left"/>
        <w:keepNext w:val="0"/>
        <w:keepLines w:val="0"/>
        <w:widowControl w:val="1"/>
      </w:pPr>
      <w:r>
        <w:rPr>
          <w:rFonts w:ascii="Georgia" w:hAnsi="Georgia"/>
          <w:sz w:val="20"/>
        </w:rPr>
        <w:t xml:space="preserve">7. </w:t>
      </w:r>
      <w:bookmarkStart w:id="57"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6">
        <w:r>
          <w:rPr>
            <w:rStyle w:val="Hyperlink"/>
          </w:rPr>
          <w:t xml:space="preserve">arxiv.org/abs/2406.05761</w:t>
        </w:r>
      </w:hyperlink>
      <w:bookmarkEnd w:id="57"/>
    </w:p>
    <w:p>
      <w:pPr>
        <w:pStyle w:val="ReferenceEntry"/>
        <w:numPr>
          <w:ilvl w:val="0"/>
          <w:numId w:val="1002"/>
        </w:numPr>
        <w:spacing w:after="60"/>
        <w:ind w:left="360" w:hanging="259"/>
        <w:jc w:val="left"/>
        <w:keepNext w:val="0"/>
        <w:keepLines w:val="0"/>
        <w:widowControl w:val="1"/>
      </w:pPr>
      <w:r>
        <w:rPr>
          <w:rFonts w:ascii="Georgia" w:hAnsi="Georgia"/>
          <w:sz w:val="20"/>
        </w:rPr>
        <w:t xml:space="preserve">8. </w:t>
      </w:r>
      <w:bookmarkStart w:id="59"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8">
        <w:r>
          <w:rPr>
            <w:rStyle w:val="Hyperlink"/>
          </w:rPr>
          <w:t xml:space="preserve">arxiv.org/abs/2404.04475</w:t>
        </w:r>
      </w:hyperlink>
      <w:bookmarkEnd w:id="59"/>
    </w:p>
    <w:p>
      <w:pPr>
        <w:pStyle w:val="ReferenceEntry"/>
        <w:numPr>
          <w:ilvl w:val="0"/>
          <w:numId w:val="1002"/>
        </w:numPr>
        <w:spacing w:after="60"/>
        <w:ind w:left="360" w:hanging="259"/>
        <w:jc w:val="left"/>
        <w:keepNext w:val="0"/>
        <w:keepLines w:val="0"/>
        <w:widowControl w:val="1"/>
      </w:pPr>
      <w:r>
        <w:rPr>
          <w:rFonts w:ascii="Georgia" w:hAnsi="Georgia"/>
          <w:sz w:val="20"/>
        </w:rPr>
        <w:t xml:space="preserve">9. </w:t>
      </w:r>
      <w:bookmarkStart w:id="61" w:name="r9"/>
      <w:r>
        <w:t xml:space="preserve">Li, X. L., Kazemi, M., et al. (2024).</w:t>
      </w:r>
      <w:r>
        <w:t xml:space="preserve"> </w:t>
      </w:r>
      <w:r>
        <w:rPr>
          <w:i/>
          <w:iCs/>
        </w:rPr>
        <w:t xml:space="preserve">AutoBencher: Towards Declarative Benchmark Construction.</w:t>
      </w:r>
      <w:r>
        <w:t xml:space="preserve"> </w:t>
      </w:r>
      <w:hyperlink r:id="rId60">
        <w:r>
          <w:rPr>
            <w:rStyle w:val="Hyperlink"/>
          </w:rPr>
          <w:t xml:space="preserve">arxiv.org/abs/2407.08351</w:t>
        </w:r>
      </w:hyperlink>
      <w:bookmarkEnd w:id="61"/>
    </w:p>
    <w:p>
      <w:pPr>
        <w:pStyle w:val="ReferenceEntry"/>
        <w:numPr>
          <w:ilvl w:val="0"/>
          <w:numId w:val="1002"/>
        </w:numPr>
        <w:spacing w:after="60"/>
        <w:ind w:left="360" w:hanging="259"/>
        <w:jc w:val="left"/>
        <w:keepNext w:val="0"/>
        <w:keepLines w:val="0"/>
        <w:widowControl w:val="1"/>
      </w:pPr>
      <w:r>
        <w:rPr>
          <w:rFonts w:ascii="Georgia" w:hAnsi="Georgia"/>
          <w:sz w:val="20"/>
        </w:rPr>
        <w:t xml:space="preserve">10. </w:t>
      </w:r>
      <w:bookmarkStart w:id="63"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2">
        <w:r>
          <w:rPr>
            <w:rStyle w:val="Hyperlink"/>
          </w:rPr>
          <w:t xml:space="preserve">arxiv.org/abs/2410.22584</w:t>
        </w:r>
      </w:hyperlink>
      <w:bookmarkEnd w:id="63"/>
    </w:p>
    <w:p>
      <w:pPr>
        <w:pStyle w:val="ReferenceEntry"/>
        <w:numPr>
          <w:ilvl w:val="0"/>
          <w:numId w:val="1002"/>
        </w:numPr>
        <w:spacing w:after="60"/>
        <w:ind w:left="360" w:hanging="259"/>
        <w:jc w:val="left"/>
        <w:keepNext w:val="0"/>
        <w:keepLines w:val="0"/>
        <w:widowControl w:val="1"/>
      </w:pPr>
      <w:r>
        <w:rPr>
          <w:rFonts w:ascii="Georgia" w:hAnsi="Georgia"/>
          <w:sz w:val="20"/>
        </w:rPr>
        <w:t xml:space="preserve">11. </w:t>
      </w:r>
      <w:bookmarkStart w:id="65" w:name="r11"/>
      <w:r>
        <w:t xml:space="preserve">Shashidhar, S., et al. (2025).</w:t>
      </w:r>
      <w:r>
        <w:t xml:space="preserve"> </w:t>
      </w:r>
      <w:r>
        <w:rPr>
          <w:i/>
          <w:iCs/>
        </w:rPr>
        <w:t xml:space="preserve">YourBench: Easy Custom Evaluation Sets for Everyone.</w:t>
      </w:r>
      <w:r>
        <w:t xml:space="preserve"> </w:t>
      </w:r>
      <w:hyperlink r:id="rId64">
        <w:r>
          <w:rPr>
            <w:rStyle w:val="Hyperlink"/>
          </w:rPr>
          <w:t xml:space="preserve">arxiv.org/abs/2504.01833</w:t>
        </w:r>
      </w:hyperlink>
      <w:bookmarkEnd w:id="65"/>
    </w:p>
    <w:p>
      <w:pPr>
        <w:pStyle w:val="ReferenceEntry"/>
        <w:numPr>
          <w:ilvl w:val="0"/>
          <w:numId w:val="1002"/>
        </w:numPr>
        <w:spacing w:after="60"/>
        <w:ind w:left="360" w:hanging="259"/>
        <w:jc w:val="left"/>
        <w:keepNext w:val="0"/>
        <w:keepLines w:val="0"/>
        <w:widowControl w:val="1"/>
      </w:pPr>
      <w:r>
        <w:rPr>
          <w:rFonts w:ascii="Georgia" w:hAnsi="Georgia"/>
          <w:sz w:val="20"/>
        </w:rPr>
        <w:t xml:space="preserve">12. </w:t>
      </w:r>
      <w:bookmarkStart w:id="67"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6">
        <w:r>
          <w:rPr>
            <w:rStyle w:val="Hyperlink"/>
          </w:rPr>
          <w:t xml:space="preserve">arxiv.org/abs/2405.00332</w:t>
        </w:r>
      </w:hyperlink>
      <w:bookmarkEnd w:id="67"/>
    </w:p>
    <w:p>
      <w:pPr>
        <w:pStyle w:val="ReferenceEntry"/>
        <w:numPr>
          <w:ilvl w:val="0"/>
          <w:numId w:val="1002"/>
        </w:numPr>
        <w:spacing w:after="60"/>
        <w:ind w:left="360" w:hanging="259"/>
        <w:jc w:val="left"/>
        <w:keepNext w:val="0"/>
        <w:keepLines w:val="0"/>
        <w:widowControl w:val="1"/>
      </w:pPr>
      <w:r>
        <w:rPr>
          <w:rFonts w:ascii="Georgia" w:hAnsi="Georgia"/>
          <w:sz w:val="20"/>
        </w:rPr>
        <w:t xml:space="preserve">13. </w:t>
      </w:r>
      <w:bookmarkStart w:id="69" w:name="r13"/>
      <w:r>
        <w:t xml:space="preserve">Xu, C., et al. (2025).</w:t>
      </w:r>
      <w:r>
        <w:t xml:space="preserve"> </w:t>
      </w:r>
      <w:r>
        <w:rPr>
          <w:i/>
          <w:iCs/>
        </w:rPr>
        <w:t xml:space="preserve">Benchmark Data Contamination of Large Language Models: A Survey.</w:t>
      </w:r>
      <w:r>
        <w:t xml:space="preserve"> </w:t>
      </w:r>
      <w:hyperlink r:id="rId68">
        <w:r>
          <w:rPr>
            <w:rStyle w:val="Hyperlink"/>
          </w:rPr>
          <w:t xml:space="preserve">arxiv.org/abs/2502.14425</w:t>
        </w:r>
      </w:hyperlink>
      <w:bookmarkEnd w:id="69"/>
    </w:p>
    <w:p>
      <w:pPr>
        <w:pStyle w:val="ReferenceEntry"/>
        <w:numPr>
          <w:ilvl w:val="0"/>
          <w:numId w:val="1002"/>
        </w:numPr>
        <w:spacing w:after="60"/>
        <w:ind w:left="360" w:hanging="259"/>
        <w:jc w:val="left"/>
        <w:keepNext w:val="0"/>
        <w:keepLines w:val="0"/>
        <w:widowControl w:val="1"/>
      </w:pPr>
      <w:r>
        <w:rPr>
          <w:rFonts w:ascii="Georgia" w:hAnsi="Georgia"/>
          <w:sz w:val="20"/>
        </w:rPr>
        <w:t xml:space="preserve">14. </w:t>
      </w:r>
      <w:bookmarkStart w:id="71"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0">
        <w:r>
          <w:rPr>
            <w:rStyle w:val="Hyperlink"/>
          </w:rPr>
          <w:t xml:space="preserve">arxiv.org/abs/2104.14337</w:t>
        </w:r>
      </w:hyperlink>
      <w:bookmarkEnd w:id="71"/>
    </w:p>
    <w:p>
      <w:pPr>
        <w:pStyle w:val="ReferenceEntry"/>
        <w:numPr>
          <w:ilvl w:val="0"/>
          <w:numId w:val="1002"/>
        </w:numPr>
        <w:spacing w:after="60"/>
        <w:ind w:left="360" w:hanging="259"/>
        <w:jc w:val="left"/>
        <w:keepNext w:val="0"/>
        <w:keepLines w:val="0"/>
        <w:widowControl w:val="1"/>
      </w:pPr>
      <w:r>
        <w:rPr>
          <w:rFonts w:ascii="Georgia" w:hAnsi="Georgia"/>
          <w:sz w:val="20"/>
        </w:rPr>
        <w:t xml:space="preserve">15. </w:t>
      </w:r>
      <w:bookmarkStart w:id="73"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2">
        <w:r>
          <w:rPr>
            <w:rStyle w:val="Hyperlink"/>
          </w:rPr>
          <w:t xml:space="preserve">arxiv.org/abs/2502.01534</w:t>
        </w:r>
      </w:hyperlink>
      <w:bookmarkEnd w:id="73"/>
    </w:p>
    <w:p>
      <w:pPr>
        <w:pStyle w:val="ReferenceEntry"/>
        <w:numPr>
          <w:ilvl w:val="0"/>
          <w:numId w:val="1002"/>
        </w:numPr>
        <w:spacing w:after="60"/>
        <w:ind w:left="360" w:hanging="259"/>
        <w:jc w:val="left"/>
        <w:keepNext w:val="0"/>
        <w:keepLines w:val="0"/>
        <w:widowControl w:val="1"/>
      </w:pPr>
      <w:r>
        <w:rPr>
          <w:rFonts w:ascii="Georgia" w:hAnsi="Georgia"/>
          <w:sz w:val="20"/>
        </w:rPr>
        <w:t xml:space="preserve">16. </w:t>
      </w:r>
      <w:bookmarkStart w:id="75"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4">
        <w:r>
          <w:rPr>
            <w:rStyle w:val="Hyperlink"/>
          </w:rPr>
          <w:t xml:space="preserve">arxiv.org/abs/2508.06709</w:t>
        </w:r>
      </w:hyperlink>
      <w:bookmarkEnd w:id="75"/>
    </w:p>
    <w:p>
      <w:pPr>
        <w:pStyle w:val="ReferenceEntry"/>
        <w:numPr>
          <w:ilvl w:val="0"/>
          <w:numId w:val="1002"/>
        </w:numPr>
        <w:spacing w:after="60"/>
        <w:ind w:left="360" w:hanging="259"/>
        <w:jc w:val="left"/>
        <w:keepNext w:val="0"/>
        <w:keepLines w:val="0"/>
        <w:widowControl w:val="1"/>
      </w:pPr>
      <w:r>
        <w:rPr>
          <w:rFonts w:ascii="Georgia" w:hAnsi="Georgia"/>
          <w:sz w:val="20"/>
        </w:rPr>
        <w:t xml:space="preserve">17. </w:t>
      </w:r>
      <w:bookmarkStart w:id="77"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6">
        <w:r>
          <w:rPr>
            <w:rStyle w:val="Hyperlink"/>
          </w:rPr>
          <w:t xml:space="preserve">arxiv.org/abs/2410.02736</w:t>
        </w:r>
      </w:hyperlink>
      <w:bookmarkEnd w:id="77"/>
    </w:p>
    <w:p>
      <w:pPr>
        <w:pStyle w:val="ReferenceEntry"/>
        <w:numPr>
          <w:ilvl w:val="0"/>
          <w:numId w:val="1002"/>
        </w:numPr>
        <w:spacing w:after="60"/>
        <w:ind w:left="360" w:hanging="259"/>
        <w:jc w:val="left"/>
        <w:keepNext w:val="0"/>
        <w:keepLines w:val="0"/>
        <w:widowControl w:val="1"/>
      </w:pPr>
      <w:r>
        <w:rPr>
          <w:rFonts w:ascii="Georgia" w:hAnsi="Georgia"/>
          <w:sz w:val="20"/>
        </w:rPr>
        <w:t xml:space="preserve">18. </w:t>
      </w:r>
      <w:bookmarkStart w:id="79" w:name="r18"/>
      <w:r>
        <w:t xml:space="preserve">Wataoka, K., Takahashi, T., Ri, R. (2024).</w:t>
      </w:r>
      <w:r>
        <w:t xml:space="preserve"> </w:t>
      </w:r>
      <w:r>
        <w:rPr>
          <w:i/>
          <w:iCs/>
        </w:rPr>
        <w:t xml:space="preserve">Self-Preference Bias in LLM-as-a-Judge.</w:t>
      </w:r>
      <w:r>
        <w:t xml:space="preserve"> </w:t>
      </w:r>
      <w:hyperlink r:id="rId78">
        <w:r>
          <w:rPr>
            <w:rStyle w:val="Hyperlink"/>
          </w:rPr>
          <w:t xml:space="preserve">arxiv.org/abs/2410.21819</w:t>
        </w:r>
      </w:hyperlink>
      <w:bookmarkEnd w:id="79"/>
    </w:p>
    <w:p>
      <w:pPr>
        <w:pStyle w:val="ReferenceEntry"/>
        <w:numPr>
          <w:ilvl w:val="0"/>
          <w:numId w:val="1002"/>
        </w:numPr>
        <w:spacing w:after="60"/>
        <w:ind w:left="360" w:hanging="259"/>
        <w:jc w:val="left"/>
        <w:keepNext w:val="0"/>
        <w:keepLines w:val="0"/>
        <w:widowControl w:val="1"/>
      </w:pPr>
      <w:r>
        <w:rPr>
          <w:rFonts w:ascii="Georgia" w:hAnsi="Georgia"/>
          <w:sz w:val="20"/>
        </w:rPr>
        <w:t xml:space="preserve">19. </w:t>
      </w:r>
      <w:bookmarkStart w:id="81" w:name="r19"/>
      <w:r>
        <w:t xml:space="preserve">Gu, J., Jiang, X., Shi, Z., et al. (2024).</w:t>
      </w:r>
      <w:r>
        <w:t xml:space="preserve"> </w:t>
      </w:r>
      <w:r>
        <w:rPr>
          <w:i/>
          <w:iCs/>
        </w:rPr>
        <w:t xml:space="preserve">A Survey on LLM-as-a-Judge.</w:t>
      </w:r>
      <w:r>
        <w:t xml:space="preserve"> </w:t>
      </w:r>
      <w:hyperlink r:id="rId80">
        <w:r>
          <w:rPr>
            <w:rStyle w:val="Hyperlink"/>
          </w:rPr>
          <w:t xml:space="preserve">arxiv.org/abs/2411.15594</w:t>
        </w:r>
      </w:hyperlink>
      <w:bookmarkEnd w:id="81"/>
    </w:p>
    <w:p>
      <w:pPr>
        <w:pStyle w:val="ReferenceEntry"/>
        <w:numPr>
          <w:ilvl w:val="0"/>
          <w:numId w:val="1002"/>
        </w:numPr>
        <w:spacing w:after="60"/>
        <w:ind w:left="360" w:hanging="259"/>
        <w:jc w:val="left"/>
        <w:keepNext w:val="0"/>
        <w:keepLines w:val="0"/>
        <w:widowControl w:val="1"/>
      </w:pPr>
      <w:r>
        <w:rPr>
          <w:rFonts w:ascii="Georgia" w:hAnsi="Georgia"/>
          <w:sz w:val="20"/>
        </w:rPr>
        <w:t xml:space="preserve">20. </w:t>
      </w:r>
      <w:bookmarkStart w:id="83"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2">
        <w:r>
          <w:rPr>
            <w:rStyle w:val="Hyperlink"/>
          </w:rPr>
          <w:t xml:space="preserve">arxiv.org/abs/2411.16594</w:t>
        </w:r>
      </w:hyperlink>
      <w:bookmarkEnd w:id="83"/>
    </w:p>
    <w:p>
      <w:pPr>
        <w:pStyle w:val="ReferenceEntry"/>
        <w:numPr>
          <w:ilvl w:val="0"/>
          <w:numId w:val="1002"/>
        </w:numPr>
        <w:spacing w:after="60"/>
        <w:ind w:left="360" w:hanging="259"/>
        <w:jc w:val="left"/>
        <w:keepNext w:val="0"/>
        <w:keepLines w:val="0"/>
        <w:widowControl w:val="1"/>
      </w:pPr>
      <w:r>
        <w:rPr>
          <w:rFonts w:ascii="Georgia" w:hAnsi="Georgia"/>
          <w:sz w:val="20"/>
        </w:rPr>
        <w:t xml:space="preserve">21. </w:t>
      </w:r>
      <w:bookmarkStart w:id="85"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4">
        <w:r>
          <w:rPr>
            <w:rStyle w:val="Hyperlink"/>
          </w:rPr>
          <w:t xml:space="preserve">arxiv.org/abs/2308.07201</w:t>
        </w:r>
      </w:hyperlink>
      <w:bookmarkEnd w:id="85"/>
    </w:p>
    <w:p>
      <w:pPr>
        <w:pStyle w:val="ReferenceEntry"/>
        <w:numPr>
          <w:ilvl w:val="0"/>
          <w:numId w:val="1002"/>
        </w:numPr>
        <w:spacing w:after="60"/>
        <w:ind w:left="360" w:hanging="259"/>
        <w:jc w:val="left"/>
        <w:keepNext w:val="0"/>
        <w:keepLines w:val="0"/>
        <w:widowControl w:val="1"/>
      </w:pPr>
      <w:r>
        <w:rPr>
          <w:rFonts w:ascii="Georgia" w:hAnsi="Georgia"/>
          <w:sz w:val="20"/>
        </w:rPr>
        <w:t xml:space="preserve">22. </w:t>
      </w:r>
      <w:bookmarkStart w:id="87"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6">
        <w:r>
          <w:rPr>
            <w:rStyle w:val="Hyperlink"/>
          </w:rPr>
          <w:t xml:space="preserve">arxiv.org/abs/2406.19314</w:t>
        </w:r>
      </w:hyperlink>
      <w:bookmarkEnd w:id="87"/>
    </w:p>
    <w:p>
      <w:pPr>
        <w:pStyle w:val="ReferenceEntry"/>
        <w:numPr>
          <w:ilvl w:val="0"/>
          <w:numId w:val="1002"/>
        </w:numPr>
        <w:spacing w:after="60"/>
        <w:ind w:left="360" w:hanging="259"/>
        <w:jc w:val="left"/>
        <w:keepNext w:val="0"/>
        <w:keepLines w:val="0"/>
        <w:widowControl w:val="1"/>
      </w:pPr>
      <w:r>
        <w:rPr>
          <w:rFonts w:ascii="Georgia" w:hAnsi="Georgia"/>
          <w:sz w:val="20"/>
        </w:rPr>
        <w:t xml:space="preserve">23. </w:t>
      </w:r>
      <w:bookmarkStart w:id="89"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8">
        <w:r>
          <w:rPr>
            <w:rStyle w:val="Hyperlink"/>
          </w:rPr>
          <w:t xml:space="preserve">arxiv.org/abs/2403.07974</w:t>
        </w:r>
      </w:hyperlink>
      <w:bookmarkEnd w:id="89"/>
    </w:p>
    <w:p>
      <w:pPr>
        <w:pStyle w:val="ReferenceEntry"/>
        <w:numPr>
          <w:ilvl w:val="0"/>
          <w:numId w:val="1002"/>
        </w:numPr>
        <w:spacing w:after="60"/>
        <w:ind w:left="360" w:hanging="259"/>
        <w:jc w:val="left"/>
        <w:keepNext w:val="0"/>
        <w:keepLines w:val="0"/>
        <w:widowControl w:val="1"/>
      </w:pPr>
      <w:r>
        <w:rPr>
          <w:rFonts w:ascii="Georgia" w:hAnsi="Georgia"/>
          <w:sz w:val="20"/>
        </w:rPr>
        <w:t xml:space="preserve">24. </w:t>
      </w:r>
      <w:bookmarkStart w:id="91"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0">
        <w:r>
          <w:rPr>
            <w:rStyle w:val="Hyperlink"/>
          </w:rPr>
          <w:t xml:space="preserve">arxiv.org/abs/2504.03846</w:t>
        </w:r>
      </w:hyperlink>
      <w:bookmarkEnd w:id="91"/>
    </w:p>
    <w:p>
      <w:pPr>
        <w:pStyle w:val="ReferenceEntry"/>
        <w:numPr>
          <w:ilvl w:val="0"/>
          <w:numId w:val="1002"/>
        </w:numPr>
        <w:spacing w:after="60"/>
        <w:ind w:left="360" w:hanging="259"/>
        <w:jc w:val="left"/>
        <w:keepNext w:val="0"/>
        <w:keepLines w:val="0"/>
        <w:widowControl w:val="1"/>
      </w:pPr>
      <w:r>
        <w:rPr>
          <w:rFonts w:ascii="Georgia" w:hAnsi="Georgia"/>
          <w:sz w:val="20"/>
        </w:rPr>
        <w:t xml:space="preserve">25. </w:t>
      </w:r>
      <w:bookmarkStart w:id="93"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2">
        <w:r>
          <w:rPr>
            <w:rStyle w:val="Hyperlink"/>
          </w:rPr>
          <w:t xml:space="preserve">arxiv.org/abs/2408.08808</w:t>
        </w:r>
      </w:hyperlink>
      <w:bookmarkEnd w:id="93"/>
    </w:p>
    <w:p>
      <w:pPr>
        <w:pStyle w:val="ReferenceEntry"/>
        <w:numPr>
          <w:ilvl w:val="0"/>
          <w:numId w:val="1002"/>
        </w:numPr>
        <w:spacing w:after="60"/>
        <w:ind w:left="360" w:hanging="259"/>
        <w:jc w:val="left"/>
        <w:keepNext w:val="0"/>
        <w:keepLines w:val="0"/>
        <w:widowControl w:val="1"/>
      </w:pPr>
      <w:r>
        <w:rPr>
          <w:rFonts w:ascii="Georgia" w:hAnsi="Georgia"/>
          <w:sz w:val="20"/>
        </w:rPr>
        <w:t xml:space="preserve">26. </w:t>
      </w:r>
      <w:bookmarkStart w:id="95" w:name="r26"/>
      <w:r>
        <w:t xml:space="preserve">Li, Y., et al. (2025).</w:t>
      </w:r>
      <w:r>
        <w:t xml:space="preserve"> </w:t>
      </w:r>
      <w:r>
        <w:rPr>
          <w:i/>
          <w:iCs/>
        </w:rPr>
        <w:t xml:space="preserve">Leveraging LLMs as Meta-Judges: A Multi-Agent Framework.</w:t>
      </w:r>
      <w:r>
        <w:t xml:space="preserve"> </w:t>
      </w:r>
      <w:hyperlink r:id="rId94">
        <w:r>
          <w:rPr>
            <w:rStyle w:val="Hyperlink"/>
          </w:rPr>
          <w:t xml:space="preserve">arxiv.org/abs/2504.17087</w:t>
        </w:r>
      </w:hyperlink>
      <w:bookmarkEnd w:id="95"/>
    </w:p>
    <w:p>
      <w:pPr>
        <w:pStyle w:val="ReferenceEntry"/>
        <w:numPr>
          <w:ilvl w:val="0"/>
          <w:numId w:val="1002"/>
        </w:numPr>
        <w:spacing w:after="60"/>
        <w:ind w:left="360" w:hanging="259"/>
        <w:jc w:val="left"/>
        <w:keepNext w:val="0"/>
        <w:keepLines w:val="0"/>
        <w:widowControl w:val="1"/>
      </w:pPr>
      <w:r>
        <w:rPr>
          <w:rFonts w:ascii="Georgia" w:hAnsi="Georgia"/>
          <w:sz w:val="20"/>
        </w:rPr>
        <w:t xml:space="preserve">27. </w:t>
      </w:r>
      <w:bookmarkStart w:id="97"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6">
        <w:r>
          <w:rPr>
            <w:rStyle w:val="Hyperlink"/>
          </w:rPr>
          <w:t xml:space="preserve">arxiv.org/abs/2602.16610</w:t>
        </w:r>
      </w:hyperlink>
      <w:bookmarkEnd w:id="97"/>
    </w:p>
    <w:p>
      <w:pPr>
        <w:pStyle w:val="ReferenceEntry"/>
        <w:numPr>
          <w:ilvl w:val="0"/>
          <w:numId w:val="1002"/>
        </w:numPr>
        <w:spacing w:after="60"/>
        <w:ind w:left="360" w:hanging="259"/>
        <w:jc w:val="left"/>
        <w:keepNext w:val="0"/>
        <w:keepLines w:val="0"/>
        <w:widowControl w:val="1"/>
      </w:pPr>
      <w:r>
        <w:rPr>
          <w:rFonts w:ascii="Georgia" w:hAnsi="Georgia"/>
          <w:sz w:val="20"/>
        </w:rPr>
        <w:t xml:space="preserve">28. </w:t>
      </w:r>
      <w:bookmarkStart w:id="99"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8">
        <w:r>
          <w:rPr>
            <w:rStyle w:val="Hyperlink"/>
          </w:rPr>
          <w:t xml:space="preserve">arxiv.org/abs/2603.00039</w:t>
        </w:r>
      </w:hyperlink>
      <w:bookmarkEnd w:id="99"/>
    </w:p>
    <w:p>
      <w:pPr>
        <w:pStyle w:val="ReferenceEntry"/>
        <w:numPr>
          <w:ilvl w:val="0"/>
          <w:numId w:val="1002"/>
        </w:numPr>
        <w:spacing w:after="60"/>
        <w:ind w:left="360" w:hanging="259"/>
        <w:jc w:val="left"/>
        <w:keepNext w:val="0"/>
        <w:keepLines w:val="0"/>
        <w:widowControl w:val="1"/>
      </w:pPr>
      <w:r>
        <w:rPr>
          <w:rFonts w:ascii="Georgia" w:hAnsi="Georgia"/>
          <w:sz w:val="20"/>
        </w:rPr>
        <w:t xml:space="preserve">29. </w:t>
      </w:r>
      <w:bookmarkStart w:id="101"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0">
        <w:r>
          <w:rPr>
            <w:rStyle w:val="Hyperlink"/>
          </w:rPr>
          <w:t xml:space="preserve">arxiv.org/abs/2601.21817</w:t>
        </w:r>
      </w:hyperlink>
      <w:bookmarkEnd w:id="101"/>
    </w:p>
    <w:p>
      <w:pPr>
        <w:pStyle w:val="ReferenceEntry"/>
        <w:numPr>
          <w:ilvl w:val="0"/>
          <w:numId w:val="1002"/>
        </w:numPr>
        <w:spacing w:after="60"/>
        <w:ind w:left="360" w:hanging="259"/>
        <w:jc w:val="left"/>
        <w:keepNext w:val="0"/>
        <w:keepLines w:val="0"/>
        <w:widowControl w:val="1"/>
      </w:pPr>
      <w:r>
        <w:rPr>
          <w:rFonts w:ascii="Georgia" w:hAnsi="Georgia"/>
          <w:sz w:val="20"/>
        </w:rPr>
        <w:t xml:space="preserve">30. </w:t>
      </w:r>
      <w:bookmarkStart w:id="103"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2">
        <w:r>
          <w:rPr>
            <w:rStyle w:val="Hyperlink"/>
          </w:rPr>
          <w:t xml:space="preserve">arxiv.org/abs/2502.14678</w:t>
        </w:r>
      </w:hyperlink>
      <w:bookmarkEnd w:id="103"/>
    </w:p>
    <w:p>
      <w:pPr>
        <w:pStyle w:val="ReferenceEntry"/>
        <w:numPr>
          <w:ilvl w:val="0"/>
          <w:numId w:val="1002"/>
        </w:numPr>
        <w:spacing w:after="60"/>
        <w:ind w:left="360" w:hanging="259"/>
        <w:jc w:val="left"/>
        <w:keepNext w:val="0"/>
        <w:keepLines w:val="0"/>
        <w:widowControl w:val="1"/>
      </w:pPr>
      <w:r>
        <w:rPr>
          <w:rFonts w:ascii="Georgia" w:hAnsi="Georgia"/>
          <w:sz w:val="20"/>
        </w:rPr>
        <w:t xml:space="preserve">31. </w:t>
      </w:r>
      <w:bookmarkStart w:id="105"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4">
        <w:r>
          <w:rPr>
            <w:rStyle w:val="Hyperlink"/>
          </w:rPr>
          <w:t xml:space="preserve">arxiv.org/abs/2501.12789</w:t>
        </w:r>
      </w:hyperlink>
      <w:bookmarkEnd w:id="105"/>
    </w:p>
    <w:p>
      <w:pPr>
        <w:pStyle w:val="ReferenceEntry"/>
        <w:numPr>
          <w:ilvl w:val="0"/>
          <w:numId w:val="1002"/>
        </w:numPr>
        <w:spacing w:after="60"/>
        <w:ind w:left="360" w:hanging="259"/>
        <w:jc w:val="left"/>
        <w:keepNext w:val="0"/>
        <w:keepLines w:val="0"/>
        <w:widowControl w:val="1"/>
      </w:pPr>
      <w:r>
        <w:rPr>
          <w:rFonts w:ascii="Georgia" w:hAnsi="Georgia"/>
          <w:sz w:val="20"/>
        </w:rPr>
        <w:t xml:space="preserve">32. </w:t>
      </w:r>
      <w:bookmarkStart w:id="107"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6">
        <w:r>
          <w:rPr>
            <w:rStyle w:val="Hyperlink"/>
          </w:rPr>
          <w:t xml:space="preserve">arxiv.org/abs/2502.17521</w:t>
        </w:r>
      </w:hyperlink>
      <w:bookmarkEnd w:id="107"/>
    </w:p>
    <w:p>
      <w:pPr>
        <w:pStyle w:val="ReferenceEntry"/>
        <w:numPr>
          <w:ilvl w:val="0"/>
          <w:numId w:val="1002"/>
        </w:numPr>
        <w:spacing w:after="60"/>
        <w:ind w:left="360" w:hanging="259"/>
        <w:jc w:val="left"/>
        <w:keepNext w:val="0"/>
        <w:keepLines w:val="0"/>
        <w:widowControl w:val="1"/>
      </w:pPr>
      <w:r>
        <w:rPr>
          <w:rFonts w:ascii="Georgia" w:hAnsi="Georgia"/>
          <w:sz w:val="20"/>
        </w:rPr>
        <w:t xml:space="preserve">33. </w:t>
      </w:r>
      <w:bookmarkStart w:id="109"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8">
        <w:r>
          <w:rPr>
            <w:rStyle w:val="Hyperlink"/>
          </w:rPr>
          <w:t xml:space="preserve">doi.org/10.2307/2346806</w:t>
        </w:r>
      </w:hyperlink>
      <w:bookmarkEnd w:id="109"/>
    </w:p>
    <w:bookmarkEnd w:id="110"/>
    <w:bookmarkStart w:id="111"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1"/>
    <w:bookmarkStart w:id="115"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3" name="Picture"/>
            <a:graphic>
              <a:graphicData uri="http://schemas.openxmlformats.org/drawingml/2006/picture">
                <pic:pic>
                  <pic:nvPicPr>
                    <pic:cNvPr descr="figures/f5_rubric_heatmap.png" id="114" name="Picture"/>
                    <pic:cNvPicPr>
                      <a:picLocks noChangeArrowheads="1" noChangeAspect="1"/>
                    </pic:cNvPicPr>
                  </pic:nvPicPr>
                  <pic:blipFill>
                    <a:blip r:embed="rId112"/>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0.342</m:t>
        </m:r>
        <m:r>
          <m:rPr>
            <m:sty m:val="p"/>
          </m:rPr>
          <m:t>&gt;</m:t>
        </m:r>
      </m:oMath>
      <m:oMath>
        <m:r>
          <m:t>0.294</m:t>
        </m:r>
      </m:oMath>
      <w:r>
        <w:rPr>
          <w:b/>
          <w:i/>
        </w:rPr>
        <w:t>Figure 5.</w:t>
      </w:r>
      <w:r>
        <w:rPr>
          <w:b w:val="0"/>
          <w:i/>
        </w:rPr>
        <w:t xml:space="preserve"> </w:t>
      </w:r>
      <w:r>
        <w:rPr>
          <w:b w:val="0"/>
          <w:i/>
        </w:rPr>
        <w:t>Pairwise semantic similarity of the 22 auto-generated rubric criteria across four tasks. Block structure along the diagonal reflects task specialization (within-task  cross-task ), while a recurring “completeness” dimension forms a cross-task cluster.</w:t>
      </w:r>
    </w:p>
    <w:bookmarkEnd w:id="115"/>
    <w:bookmarkStart w:id="119" w:name="appC"/>
    <w:p>
      <w:pPr>
        <w:pStyle w:val="Heading2"/>
        <w:keepNext/>
        <w:keepLines/>
        <w:widowControl w:val="1"/>
      </w:pPr>
      <w:r>
        <w:t xml:space="preserve">Appendix C. Evaluation throughput</w:t>
      </w:r>
    </w:p>
    <w:p>
      <w:pPr>
        <w:pStyle w:val="BodyText"/>
        <w:jc w:val="center"/>
        <w:keepNext/>
        <w:keepLines/>
        <w:widowControl w:val="1"/>
      </w:pPr>
      <w:r>
        <w:drawing>
          <wp:inline>
            <wp:extent cx="4632960" cy="2987040"/>
            <wp:effectExtent b="0" l="0" r="0" t="0"/>
            <wp:docPr descr="Evaluations per dollar: CoEval versus human annotation" title="" id="117" name="Picture"/>
            <a:graphic>
              <a:graphicData uri="http://schemas.openxmlformats.org/drawingml/2006/picture">
                <pic:pic>
                  <pic:nvPicPr>
                    <pic:cNvPr descr="figures/f6_cost.png" id="118" name="Picture"/>
                    <pic:cNvPicPr>
                      <a:picLocks noChangeArrowheads="1" noChangeAspect="1"/>
                    </pic:cNvPicPr>
                  </pic:nvPicPr>
                  <pic:blipFill>
                    <a:blip r:embed="rId116"/>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1</m:t>
        </m:r>
        <m:r>
          <m:rPr>
            <m:sty m:val="p"/>
          </m:rPr>
          <m:t>,</m:t>
        </m:r>
        <m:r>
          <m:t>350</m:t>
        </m:r>
      </m:oMath>
      <w:r>
        <w:rPr>
          <w:b/>
          <w:i/>
        </w:rPr>
        <w:t>Figure 6.</w:t>
      </w:r>
      <w:r>
        <w:rPr>
          <w:b w:val="0"/>
          <w:i/>
        </w:rPr>
        <w:t xml:space="preserve"> </w:t>
      </w:r>
      <w:r>
        <w:rPr>
          <w:b w:val="0"/>
          <w:i/>
        </w:rPr>
        <w:t>Throughput. CoEval produces roughly  evaluations per dollar (7,978 evaluations for USD 5.89), two to three orders of magnitude above typical human annotation, enabling re-evaluation on every model release.</w:t>
      </w:r>
    </w:p>
    <w:bookmarkEnd w:id="119"/>
    <w:bookmarkStart w:id="120"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pStyle w:val="TableCaption"/>
        <w:spacing w:before="280" w:after="60" w:line="240" w:lineRule="auto"/>
        <w:jc w:val="center"/>
        <w:keepNext/>
        <w:keepLines/>
        <w:widowControl w:val="1"/>
      </w:pPr>
      <m:oMath>
        <m:r>
          <m:t>40</m:t>
        </m:r>
      </m:oMath>
      <w:r>
        <w:rPr>
          <w:b/>
          <w:i/>
        </w:rPr>
        <w:t>Table D1.</w:t>
      </w:r>
      <w:r>
        <w:rPr>
          <w:b w:val="0"/>
          <w:i/>
        </w:rPr>
        <w:t xml:space="preserve"> </w:t>
      </w:r>
      <w:r>
        <w:rPr>
          <w:b w:val="0"/>
          <w:i/>
        </w:rPr>
        <w:t>From a one-line description to a scored benchmark, for three domains with no public labeled data. The attribute strata and rubric criteria are auto-generated by the teacher; each domain yields  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Drug–drug interaction reasoning</w:t>
            </w:r>
            <w:r>
              <w:rPr>
                <w:rFonts w:ascii="Georgia" w:hAnsi="Georgia"/>
                <w:sz w:val="20"/>
              </w:rPr>
              <w:br/>
            </w:r>
            <w:r>
              <w:rPr>
                <w:rFonts w:ascii="Georgia" w:hAnsi="Georgia"/>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severity {contraindicated, major, moderate, minor}; mechanism {pharmacokinetic, pharmacodynamic};</w:t>
            </w:r>
            <w:r>
              <w:rPr>
                <w:rFonts w:ascii="Georgia" w:hAnsi="Georgia"/>
                <w:sz w:val="20"/>
              </w:rPr>
              <w:t xml:space="preserve"> </w:t>
            </w:r>
            <w:r>
              <w:rPr>
                <w:rFonts w:ascii="Georgia" w:hAnsi="Georgia"/>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Clinical reasoning</w:t>
            </w:r>
            <w:r>
              <w:rPr>
                <w:rFonts w:ascii="Georgia" w:hAnsi="Georgia"/>
                <w:sz w:val="20"/>
              </w:rPr>
              <w:br/>
            </w:r>
            <w:r>
              <w:rPr>
                <w:rFonts w:ascii="Georgia" w:hAnsi="Georgia"/>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Legal analysis</w:t>
            </w:r>
            <w:r>
              <w:rPr>
                <w:rFonts w:ascii="Georgia" w:hAnsi="Georgia"/>
                <w:sz w:val="20"/>
              </w:rPr>
              <w:br/>
            </w:r>
            <w:r>
              <w:rPr>
                <w:rFonts w:ascii="Georgia" w:hAnsi="Georgia"/>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legal_accuracy, reasoning_quality, completeness, clarity</w:t>
            </w:r>
          </w:p>
        </w:tc>
      </w:tr>
    </w:tbl>
    <w:p>
      <w:pPr>
        <w:pStyle w:val="BodyText"/>
        <w:spacing w:before="24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36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2" Type="http://schemas.openxmlformats.org/officeDocument/2006/relationships/image" Target="media/rId112.png"/><Relationship Id="rId116" Type="http://schemas.openxmlformats.org/officeDocument/2006/relationships/image" Target="media/rId116.png"/><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2026-06-03T09:57:42Z</dcterms:created>
  <dcterms:modified xsi:type="dcterms:W3CDTF">2026-06-03T09:57:42Z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