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0"/>
      </w:pPr>
    </w:p>
    <w:p>
      <w:pPr>
        <w:jc w:val="center"/>
      </w:pPr>
      <w:r>
        <w:rPr>
          <w:b/>
          <w:bCs/>
          <w:color w:val="020617"/>
          <w:sz w:val="72"/>
          <w:szCs w:val="72"/>
        </w:rPr>
        <w:t xml:space="preserve">CITARION TRADING PLATFORM</w:t>
      </w:r>
    </w:p>
    <w:p>
      <w:pPr>
        <w:spacing w:before="400"/>
      </w:pPr>
    </w:p>
    <w:p>
      <w:pPr>
        <w:jc w:val="center"/>
      </w:pPr>
      <w:r>
        <w:rPr>
          <w:color w:val="1E293B"/>
          <w:sz w:val="48"/>
          <w:szCs w:val="48"/>
        </w:rPr>
        <w:t xml:space="preserve">АРХИТЕКТУРНЫЙ ПЛАН МОДЕРНИЗАЦИИ</w:t>
      </w:r>
    </w:p>
    <w:p>
      <w:pPr>
        <w:spacing w:before="200"/>
      </w:pPr>
    </w:p>
    <w:p>
      <w:pPr>
        <w:jc w:val="center"/>
      </w:pPr>
      <w:r>
        <w:rPr>
          <w:color w:val="64748B"/>
          <w:sz w:val="32"/>
          <w:szCs w:val="32"/>
        </w:rPr>
        <w:t xml:space="preserve">Институциональный уровень</w:t>
      </w:r>
    </w:p>
    <w:p>
      <w:pPr>
        <w:spacing w:before="800"/>
      </w:pPr>
    </w:p>
    <w:p>
      <w:pPr>
        <w:jc w:val="center"/>
      </w:pPr>
      <w:r>
        <w:rPr>
          <w:color w:val="94A3B8"/>
          <w:sz w:val="28"/>
          <w:szCs w:val="28"/>
        </w:rPr>
        <w:t xml:space="preserve">Версия 2.0</w:t>
      </w:r>
    </w:p>
    <w:p>
      <w:pPr>
        <w:jc w:val="center"/>
      </w:pPr>
      <w:r>
        <w:rPr>
          <w:color w:val="94A3B8"/>
          <w:sz w:val="24"/>
          <w:szCs w:val="24"/>
        </w:rPr>
        <w:t xml:space="preserve">28.02.2026</w:t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СОДЕРЖАНИЕ</w:t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pPr>
            <w:pStyle w:val="9"/>
            <w:tabs>
              <w:tab w:val="right" w:leader="dot" w:pos="9026"/>
            </w:tabs>
          </w:pPr>
          <w:r>
            <w:t>EXECUTIVE SUMMARY</w:t>
          </w:r>
          <w:r>
            <w:tab/>
          </w:r>
          <w:r>
            <w:t>3</w:t>
          </w:r>
        </w:p>
        <w:p>
          <w:pPr>
            <w:pStyle w:val="9"/>
            <w:tabs>
              <w:tab w:val="right" w:leader="dot" w:pos="9026"/>
            </w:tabs>
          </w:pPr>
          <w:r>
            <w:t>1. КЛАССИФИКАЦИЯ БОТОВ</w:t>
          </w:r>
          <w:r>
            <w:tab/>
          </w:r>
          <w:r>
            <w:t>4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1.1 Операционные боты (Operational Bots)</w:t>
          </w:r>
          <w:r>
            <w:tab/>
          </w:r>
          <w:r>
            <w:t>4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1.2 Институциональные боты (Institutional Bots)</w:t>
          </w:r>
          <w:r>
            <w:tab/>
          </w:r>
          <w:r>
            <w:t>5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1.3 Частотные боты (Frequency Bots) — НОВЫЕ ИМЕНА</w:t>
          </w:r>
          <w:r>
            <w:tab/>
          </w:r>
          <w:r>
            <w:t>6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1.4 Интеграционные боты (Integration Bots)</w:t>
          </w:r>
          <w:r>
            <w:tab/>
          </w:r>
          <w:r>
            <w:t>7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1.5 Аналитический бот LOGOS — НОВЫЙ</w:t>
          </w:r>
          <w:r>
            <w:tab/>
          </w:r>
          <w:r>
            <w:t>8</w:t>
          </w:r>
        </w:p>
        <w:p>
          <w:pPr>
            <w:pStyle w:val="9"/>
            <w:tabs>
              <w:tab w:val="right" w:leader="dot" w:pos="9026"/>
            </w:tabs>
          </w:pPr>
          <w:r>
            <w:t>2. ЭТАП 1: ИНТЕГРАЦИОННАЯ АРХИТЕКТУРА</w:t>
          </w:r>
          <w:r>
            <w:tab/>
          </w:r>
          <w:r>
            <w:t>9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2.1 Оркестрационный слой</w:t>
          </w:r>
          <w:r>
            <w:tab/>
          </w:r>
          <w:r>
            <w:t>9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2.2 Унификация биржевых подключений</w:t>
          </w:r>
          <w:r>
            <w:tab/>
          </w:r>
          <w:r>
            <w:t>11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2.3 Мультибиржевой режим</w:t>
          </w:r>
          <w:r>
            <w:tab/>
          </w:r>
          <w:r>
            <w:t>12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2.4 UI редизайн с трёхбуквенными кодами</w:t>
          </w:r>
          <w:r>
            <w:tab/>
          </w:r>
          <w:r>
            <w:t>12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2.5 Выявление недостающих компонентов</w:t>
          </w:r>
          <w:r>
            <w:tab/>
          </w:r>
          <w:r>
            <w:t>14</w:t>
          </w:r>
        </w:p>
        <w:p>
          <w:pPr>
            <w:pStyle w:val="9"/>
            <w:tabs>
              <w:tab w:val="right" w:leader="dot" w:pos="9026"/>
            </w:tabs>
          </w:pPr>
          <w:r>
            <w:t>3. ЭТАП 2: МОДЕРНИЗАЦИЯ АЛГОРИТМОВ</w:t>
          </w:r>
          <w:r>
            <w:tab/>
          </w:r>
          <w:r>
            <w:t>15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3.1 Самообучаемые боты без нейронных сетей</w:t>
          </w:r>
          <w:r>
            <w:tab/>
          </w:r>
          <w:r>
            <w:t>15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3.2 Режим Demo/Paper Trading для обучения</w:t>
          </w:r>
          <w:r>
            <w:tab/>
          </w:r>
          <w:r>
            <w:t>18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3.3 LOGOS: Архитектура аналитического модуля</w:t>
          </w:r>
          <w:r>
            <w:tab/>
          </w:r>
          <w:r>
            <w:t>18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3.4 Развитие частотных ботов</w:t>
          </w:r>
          <w:r>
            <w:tab/>
          </w:r>
          <w:r>
            <w:t>19</w:t>
          </w:r>
        </w:p>
        <w:p>
          <w:pPr>
            <w:pStyle w:val="9"/>
            <w:tabs>
              <w:tab w:val="right" w:leader="dot" w:pos="9026"/>
            </w:tabs>
          </w:pPr>
          <w:r>
            <w:t>4. ПЛАН РЕАЛИЗАЦИИ</w:t>
          </w:r>
          <w:r>
            <w:tab/>
          </w:r>
          <w:r>
            <w:t>21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4.1 Временные рамки</w:t>
          </w:r>
          <w:r>
            <w:tab/>
          </w:r>
          <w:r>
            <w:t>21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4.2 Технологический стек</w:t>
          </w:r>
          <w:r>
            <w:tab/>
          </w:r>
          <w:r>
            <w:t>22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4.3 Критерии успеха</w:t>
          </w:r>
          <w:r>
            <w:tab/>
          </w:r>
          <w:r>
            <w:t>22</w:t>
          </w:r>
        </w:p>
        <w:p>
          <w:r>
            <w:fldChar w:fldCharType="end"/>
          </w:r>
        </w:p>
      </w:sdtContent>
    </w:sdt>
    <w:p>
      <w:pPr>
        <w:spacing w:before="200"/>
        <w:jc w:val="center"/>
      </w:pPr>
      <w:r>
        <w:rPr>
          <w:color w:val="999999"/>
          <w:sz w:val="18"/>
          <w:szCs w:val="18"/>
        </w:rPr>
        <w:t xml:space="preserve">Для обновления номеров страниц нажмите правой кнопкой на содержание и выберите «Обновить поле»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EXECUTIVE SUMMARY</w:t>
      </w:r>
    </w:p>
    <w:p>
      <w:pPr>
        <w:spacing w:after="150" w:line="276"/>
      </w:pPr>
      <w:r>
        <w:rPr>
          <w:sz w:val="24"/>
          <w:szCs w:val="24"/>
        </w:rPr>
        <w:t xml:space="preserve">Данный документ представляет комплексный архитектурный план модернизации торговой платформы CITARION до институционального уровня. План разделён на два стратегических этапа, обеспечивающих постепенную трансформацию системы с минимизацией рисков и максимизцией эффективности. Этап 1 фокусируется на создании единой оркестрационной инфраструктуры и интеграции всех компонентов в централизованную шину данных. Этап 2 посвящён глубокой модернизации алгоритмических ядер с внедрением механизмов самообучения на основе классического машинного обучения и генетических алгоритмов.</w:t>
      </w:r>
    </w:p>
    <w:p>
      <w:pPr>
        <w:spacing w:after="150" w:line="276"/>
      </w:pPr>
      <w:r>
        <w:rPr>
          <w:sz w:val="24"/>
          <w:szCs w:val="24"/>
        </w:rPr>
        <w:t xml:space="preserve">Ключевые цели модернизации включают: унификацию взаимодействия между всеми ботами через событийно-ориентированную архитектуру, создание механизмов самооптимизации параметров без использования нейронных сетей, поддержку мультивалютного и мультибиржевого режима работы, а также разработку интеллектуального аналитического модуля LOGOS для автономного принятия торговых решений. Реализация плана рассчитана на 12-18 месяцев с промежуточными контрольными точками каждые 6 недель.</w:t>
      </w:r>
    </w:p>
    <w:p>
      <w:pPr>
        <w:pStyle w:val="Heading1"/>
      </w:pPr>
      <w:r>
        <w:t xml:space="preserve">1. КЛАССИФИКАЦИЯ БОТОВ</w:t>
      </w:r>
    </w:p>
    <w:p>
      <w:pPr>
        <w:pStyle w:val="Heading2"/>
      </w:pPr>
      <w:r>
        <w:t xml:space="preserve">1.1 Операционные боты (Operational Bots)</w:t>
      </w:r>
    </w:p>
    <w:p>
      <w:pPr>
        <w:spacing w:after="150" w:line="276"/>
      </w:pPr>
      <w:r>
        <w:rPr>
          <w:sz w:val="24"/>
          <w:szCs w:val="24"/>
        </w:rPr>
        <w:t xml:space="preserve">Операционные боты представляют собой основу торговой инфраструктуры, реализующую стандартные стратегии автоматической торговли. Каждый бот специализируется на определённом рыночном сценарии и временной горизонте. Данная категория ботов полностью реализована в текущей системе и требует интеграции в оркестрационный слой. Все операционные боты используют трёхбуквенные коды для идентификации в UI и системе логирования.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50"/>
          <w:bottom w:type="dxa" w:w="100"/>
          <w:right w:type="dxa" w:w="150"/>
        </w:tblCellMar>
      </w:tblPr>
      <w:tblGrid>
        <w:gridCol w:w="2000"/>
        <w:gridCol w:w="1200"/>
        <w:gridCol w:w="3000"/>
        <w:gridCol w:w="3160"/>
      </w:tblGrid>
      <w:tr>
        <w:trPr>
          <w:tblHeader/>
        </w:trPr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Имя бота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Код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Стратегия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Файлы</w:t>
            </w:r>
          </w:p>
        </w:tc>
      </w:tr>
      <w:tr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MESH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GRD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Grid Trading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grid-bot/adaptive-grid.ts</w:t>
            </w:r>
          </w:p>
        </w:tc>
      </w:tr>
      <w:tr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SCALE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DCA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Dollar Cost Averaging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dca-bot/safety-orders.ts</w:t>
            </w:r>
          </w:p>
        </w:tc>
      </w:tr>
      <w:tr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BAND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BBB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Bollinger Bands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bb-bot/mtf-confirmation.ts</w:t>
            </w:r>
          </w:p>
        </w:tc>
      </w:tr>
      <w:tr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EDGE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RNG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Range Trading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range-bot/engine.ts</w:t>
            </w:r>
          </w:p>
        </w:tc>
      </w:tr>
      <w:tr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Argus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PND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Pump &amp; Dump Detection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argus-bot/whale-tracker.ts</w:t>
            </w:r>
          </w:p>
        </w:tc>
      </w:tr>
      <w:tr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Vision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FCS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Forecasting / Price Prediction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vision-bot/forecast-model.ts</w:t>
            </w:r>
          </w:p>
        </w:tc>
      </w:tr>
    </w:tbl>
    <w:p>
      <w:pPr>
        <w:spacing w:before="100" w:after="200"/>
        <w:jc w:val="center"/>
      </w:pPr>
      <w:r>
        <w:rPr>
          <w:i/>
          <w:iCs/>
          <w:color w:val="64748B"/>
          <w:sz w:val="20"/>
          <w:szCs w:val="20"/>
        </w:rPr>
        <w:t xml:space="preserve">Таблица 1.1 — Операционные боты</w:t>
      </w:r>
    </w:p>
    <w:p>
      <w:pPr>
        <w:pStyle w:val="Heading2"/>
      </w:pPr>
      <w:r>
        <w:t xml:space="preserve">1.2 Институциональные боты (Institutional Bots)</w:t>
      </w:r>
    </w:p>
    <w:p>
      <w:pPr>
        <w:spacing w:after="150" w:line="276"/>
      </w:pPr>
      <w:r>
        <w:rPr>
          <w:sz w:val="24"/>
          <w:szCs w:val="24"/>
        </w:rPr>
        <w:t xml:space="preserve">Институциональные боты реализуют продвинутые стратегии, характерные для профессиональных участников рынка: маркет-мейкинг, статистический арбитраж, парный трейдинг, управление портфельным риском. Данные боты требуют более глубокой интеграции с рыночными данными и механизмами исполнения ордеров. Каждый институциональный бот использует модели, принятые в количественных хедж-фондах и проп-трейдинговых фирмах.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50"/>
          <w:bottom w:type="dxa" w:w="100"/>
          <w:right w:type="dxa" w:w="150"/>
        </w:tblCellMar>
      </w:tblPr>
      <w:tblGrid>
        <w:gridCol w:w="2000"/>
        <w:gridCol w:w="1200"/>
        <w:gridCol w:w="3200"/>
        <w:gridCol w:w="2960"/>
      </w:tblGrid>
      <w:tr>
        <w:trPr>
          <w:tblHeader/>
        </w:trPr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Имя бота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Код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Стратегия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Модель</w:t>
            </w:r>
          </w:p>
        </w:tc>
      </w:tr>
      <w:tr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Orion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ARB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Cross-Exchange Arbitrage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Latency Arbitrage</w:t>
            </w:r>
          </w:p>
        </w:tc>
      </w:tr>
      <w:tr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Spectrum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PAR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Pairs Trading / Statistical Arb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Cointegration + Kalman</w:t>
            </w:r>
          </w:p>
        </w:tc>
      </w:tr>
      <w:tr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Reed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STA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Statistical Trading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Ornstein-Uhlenbeck</w:t>
            </w:r>
          </w:p>
        </w:tc>
      </w:tr>
      <w:tr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Architect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MMK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Market Making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Avellaneda-Stoikov</w:t>
            </w:r>
          </w:p>
        </w:tc>
      </w:tr>
      <w:tr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Equilibrist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MRB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Mean Reversion Basket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Multi-Asset OU</w:t>
            </w:r>
          </w:p>
        </w:tc>
      </w:tr>
      <w:tr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Kron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TRF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Transfer / Rebalancing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TWAP/VWAP Execution</w:t>
            </w:r>
          </w:p>
        </w:tc>
      </w:tr>
    </w:tbl>
    <w:p>
      <w:pPr>
        <w:spacing w:before="100" w:after="200"/>
        <w:jc w:val="center"/>
      </w:pPr>
      <w:r>
        <w:rPr>
          <w:i/>
          <w:iCs/>
          <w:color w:val="64748B"/>
          <w:sz w:val="20"/>
          <w:szCs w:val="20"/>
        </w:rPr>
        <w:t xml:space="preserve">Таблица 1.2 — Институциональные боты</w:t>
      </w:r>
    </w:p>
    <w:p>
      <w:pPr>
        <w:pStyle w:val="Heading2"/>
      </w:pPr>
      <w:r>
        <w:t xml:space="preserve">1.3 Частотные боты (Frequency Bots) — НОВЫЕ ИМЕНА</w:t>
      </w:r>
    </w:p>
    <w:p>
      <w:pPr>
        <w:spacing w:after="150" w:line="276"/>
      </w:pPr>
      <w:r>
        <w:rPr>
          <w:sz w:val="24"/>
          <w:szCs w:val="24"/>
        </w:rPr>
        <w:t xml:space="preserve">Частотные боты классифицируются по временному горизонту удержания позиций и частоте торговых операций. Предлагаются следующие имена и коды, отражающие функциональное назначение каждого бота. Имена выбраны в соответствии с мифологической и астрономической тематикой платформы, сохраняя консистентность с существующими ботами (Orion, Argus, Kron).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50"/>
          <w:bottom w:type="dxa" w:w="100"/>
          <w:right w:type="dxa" w:w="150"/>
        </w:tblCellMar>
      </w:tblPr>
      <w:tblGrid>
        <w:gridCol w:w="2200"/>
        <w:gridCol w:w="1200"/>
        <w:gridCol w:w="2400"/>
        <w:gridCol w:w="3560"/>
      </w:tblGrid>
      <w:tr>
        <w:trPr>
          <w:tblHeader/>
        </w:trPr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Имя бота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Код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Частота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Холдинг период</w:t>
            </w:r>
          </w:p>
        </w:tc>
      </w:tr>
      <w:tr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Helios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HFT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High Frequency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секунды — минуты</w:t>
            </w:r>
          </w:p>
        </w:tc>
      </w:tr>
      <w:tr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Selene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MFT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Medium Frequency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15 мин — 4 часа</w:t>
            </w:r>
          </w:p>
        </w:tc>
      </w:tr>
      <w:tr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Atlas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LFT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Low Frequency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 день — 2 недели</w:t>
            </w:r>
          </w:p>
        </w:tc>
      </w:tr>
    </w:tbl>
    <w:p>
      <w:pPr>
        <w:spacing w:before="100" w:after="200"/>
        <w:jc w:val="center"/>
      </w:pPr>
      <w:r>
        <w:rPr>
          <w:i/>
          <w:iCs/>
          <w:color w:val="64748B"/>
          <w:sz w:val="20"/>
          <w:szCs w:val="20"/>
        </w:rPr>
        <w:t xml:space="preserve">Таблица 1.3 — Частотные боты (предлагаемые имена)</w:t>
      </w:r>
    </w:p>
    <w:p>
      <w:pPr>
        <w:spacing w:after="150" w:line="276"/>
      </w:pPr>
      <w:r>
        <w:rPr>
          <w:b/>
          <w:bCs/>
          <w:sz w:val="24"/>
          <w:szCs w:val="24"/>
        </w:rPr>
        <w:t xml:space="preserve">Обоснование имён:</w:t>
      </w:r>
      <w:r>
        <w:rPr>
          <w:sz w:val="24"/>
          <w:szCs w:val="24"/>
        </w:rPr>
        <w:t xml:space="preserve"> Helios (Гелиос) — греческий бог солнца, символизирует максимальную скорость и интенсивность, соответствует высокочастотной торговле с молниеносным исполнением. Selene (Селена) — греческая богиня луны, представляет средний цикл между днём и ночью, отражая промежуточный временной горизонт MFT-бота. Atlas (Атлас) — титан, держащий небесный свод, символизирует долгосрочные позиции и устойчивость, что соответствует LFT-стратегиям с длительным удержанием.</w:t>
      </w:r>
    </w:p>
    <w:p>
      <w:pPr>
        <w:pStyle w:val="Heading2"/>
      </w:pPr>
      <w:r>
        <w:t xml:space="preserve">1.4 Интеграционные боты (Integration Bots)</w:t>
      </w:r>
    </w:p>
    <w:p>
      <w:pPr>
        <w:spacing w:after="150" w:line="276"/>
      </w:pPr>
      <w:r>
        <w:rPr>
          <w:sz w:val="24"/>
          <w:szCs w:val="24"/>
        </w:rPr>
        <w:t xml:space="preserve">Интеграционные боты обеспечивают связь между торговой системой и внешними сервисами: чат-интерфейсами, системами уведомлений, внешними источниками данных. Oracle функционирует как интеллектуальный чат-бот для взаимодействия с пользователем. Lumi и Wolf представляют собой интеграционные модули для специфических внешних систем.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50"/>
          <w:bottom w:type="dxa" w:w="100"/>
          <w:right w:type="dxa" w:w="150"/>
        </w:tblCellMar>
      </w:tblPr>
      <w:tblGrid>
        <w:gridCol w:w="2000"/>
        <w:gridCol w:w="1200"/>
        <w:gridCol w:w="6160"/>
      </w:tblGrid>
      <w:tr>
        <w:trPr>
          <w:tblHeader/>
        </w:trPr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Имя бота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Код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Назначение</w:t>
            </w:r>
          </w:p>
        </w:tc>
      </w:tr>
      <w:tr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Oracle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ORA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Чат-бот интерфейс, AI-ассистент пользователя</w:t>
            </w:r>
          </w:p>
        </w:tc>
      </w:tr>
      <w:tr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Lumi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LUM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Интеграция с внешними источниками данных</w:t>
            </w:r>
          </w:p>
        </w:tc>
      </w:tr>
      <w:tr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Wolf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WLF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Алертная система, мониторинг рисков</w:t>
            </w:r>
          </w:p>
        </w:tc>
      </w:tr>
    </w:tbl>
    <w:p>
      <w:pPr>
        <w:spacing w:before="100" w:after="200"/>
        <w:jc w:val="center"/>
      </w:pPr>
      <w:r>
        <w:rPr>
          <w:i/>
          <w:iCs/>
          <w:color w:val="64748B"/>
          <w:sz w:val="20"/>
          <w:szCs w:val="20"/>
        </w:rPr>
        <w:t xml:space="preserve">Таблица 1.4 — Интеграционные боты</w:t>
      </w:r>
    </w:p>
    <w:p>
      <w:pPr>
        <w:pStyle w:val="Heading2"/>
      </w:pPr>
      <w:r>
        <w:t xml:space="preserve">1.5 Аналитический бот LOGOS — НОВЫЙ</w:t>
      </w:r>
    </w:p>
    <w:p>
      <w:pPr>
        <w:spacing w:after="150" w:line="276"/>
      </w:pPr>
      <w:r>
        <w:rPr>
          <w:sz w:val="24"/>
          <w:szCs w:val="24"/>
        </w:rPr>
        <w:t xml:space="preserve">LOGOS — это новый интеллектуальный модуль, объединяющий функции аналитика и автономного трейдера. Название происходит от греческого «логос» (слово, разум, закон), символизируя рациональный подход к анализу рынка. LOGOS использует комбинацию классических статистических методов, генетических алгоритмов и машинного обучения для формирования торговых решений и рекомендаций.</w:t>
      </w:r>
    </w:p>
    <w:p>
      <w:pPr>
        <w:spacing w:after="150" w:line="276"/>
      </w:pPr>
      <w:r>
        <w:rPr>
          <w:sz w:val="24"/>
          <w:szCs w:val="24"/>
        </w:rPr>
        <w:t xml:space="preserve">Ключевые характеристики LOGOS: агрегация сигналов от всех ботов через оркестрационный слой, взвешивание сигналов на основе исторической точности, генерация мета-сигналов для других ботов, автономная торговля в режиме «paper trading» с последующим переходом в реальный режим после достижения целевых метрик. Код бота: LOG.</w:t>
      </w:r>
    </w:p>
    <w:p>
      <w:pPr>
        <w:pStyle w:val="Heading1"/>
      </w:pPr>
      <w:r>
        <w:t xml:space="preserve">2. ЭТАП 1: ИНТЕГРАЦИОННАЯ АРХИТЕКТУРА</w:t>
      </w:r>
    </w:p>
    <w:p>
      <w:pPr>
        <w:pStyle w:val="Heading2"/>
      </w:pPr>
      <w:r>
        <w:t xml:space="preserve">2.1 Оркестрационный слой</w:t>
      </w:r>
    </w:p>
    <w:p>
      <w:pPr>
        <w:spacing w:after="150" w:line="276"/>
      </w:pPr>
      <w:r>
        <w:rPr>
          <w:sz w:val="24"/>
          <w:szCs w:val="24"/>
        </w:rPr>
        <w:t xml:space="preserve">Центральным элементом модернизации является создание оркестрационного слоя (Orchestration Layer), обеспечивающего единообразное взаимодействие между всеми компонентами системы. Оркестрационный слой реализует паттерн Message Broker, обеспечивая асинхронную коммуникацию через событийно-ориентированную модель. Каждый бот выступает как независимый микросервис, публикующий события и подписывающийся на релевантные топики.</w:t>
      </w:r>
    </w:p>
    <w:p>
      <w:pPr>
        <w:pStyle w:val="Heading3"/>
      </w:pPr>
      <w:r>
        <w:t xml:space="preserve">2.1.1 Выбор Message Broker</w:t>
      </w:r>
    </w:p>
    <w:p>
      <w:pPr>
        <w:spacing w:after="150" w:line="276"/>
      </w:pPr>
      <w:r>
        <w:rPr>
          <w:sz w:val="24"/>
          <w:szCs w:val="24"/>
        </w:rPr>
        <w:t xml:space="preserve">Сравнительный анализ технологий message broker для оркестрационного слоя. Ключевыми критериями являются: пропускная способность, latency, надёжность доставки, поддержка сложной маршрутизации, простота интеграции с существующим стеком (Next.js, TypeScript, Node.js).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50"/>
          <w:bottom w:type="dxa" w:w="100"/>
          <w:right w:type="dxa" w:w="150"/>
        </w:tblCellMar>
      </w:tblPr>
      <w:tblGrid>
        <w:gridCol w:w="1800"/>
        <w:gridCol w:w="2100"/>
        <w:gridCol w:w="1800"/>
        <w:gridCol w:w="1800"/>
        <w:gridCol w:w="1860"/>
      </w:tblGrid>
      <w:tr>
        <w:trPr>
          <w:tblHeader/>
        </w:trPr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E2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Технология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E2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Latency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E2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Throughput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E2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Node.js SDK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E2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Рекомендация</w:t>
            </w:r>
          </w:p>
        </w:tc>
      </w:tr>
      <w:tr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NATS JetStream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&lt; 100μs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&gt; 10M msg/s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Отличный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jc w:val="center"/>
            </w:pPr>
            <w:r>
              <w:rPr>
                <w:b/>
                <w:bCs/>
                <w:color w:val="059669"/>
                <w:sz w:val="20"/>
                <w:szCs w:val="20"/>
              </w:rPr>
              <w:t xml:space="preserve">РЕКОМЕНДУЕТСЯ</w:t>
            </w:r>
          </w:p>
        </w:tc>
      </w:tr>
      <w:tr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RabbitMQ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~ 1ms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&gt; 1M msg/s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Хороший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Альтернатива</w:t>
            </w:r>
          </w:p>
        </w:tc>
      </w:tr>
      <w:tr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Apache Kafka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~ 5ms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&gt; 5M msg/s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Хороший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Избыточен</w:t>
            </w:r>
          </w:p>
        </w:tc>
      </w:tr>
      <w:tr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Aeron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&lt; 10μs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&gt; 20M msg/s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Сложный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HFT-оптимум</w:t>
            </w:r>
          </w:p>
        </w:tc>
      </w:tr>
    </w:tbl>
    <w:p>
      <w:pPr>
        <w:spacing w:before="100" w:after="200"/>
        <w:jc w:val="center"/>
      </w:pPr>
      <w:r>
        <w:rPr>
          <w:i/>
          <w:iCs/>
          <w:color w:val="64748B"/>
          <w:sz w:val="20"/>
          <w:szCs w:val="20"/>
        </w:rPr>
        <w:t xml:space="preserve">Таблица 2.1 — Сравнение технологий Message Broker</w:t>
      </w:r>
    </w:p>
    <w:p>
      <w:pPr>
        <w:spacing w:after="150" w:line="276"/>
      </w:pPr>
      <w:r>
        <w:rPr>
          <w:sz w:val="24"/>
          <w:szCs w:val="24"/>
        </w:rPr>
        <w:t xml:space="preserve">Рекомендация: NATS JetStream является оптимальным выбором для институциональной торговой платформы. Сочетание ультранизкого latency (&lt; 100μs), высокой пропускной способности и отличной интеграции с Node.js/TypeScript делает NATS идеальным решением. Для HFT-бота Helios возможно рассмотрение Aeron при необходимости субмикросекундного latency.</w:t>
      </w:r>
    </w:p>
    <w:p>
      <w:pPr>
        <w:pStyle w:val="Heading3"/>
      </w:pPr>
      <w:r>
        <w:t xml:space="preserve">2.1.2 Архитектура Event Bus</w:t>
      </w:r>
    </w:p>
    <w:p>
      <w:pPr>
        <w:spacing w:after="150" w:line="276"/>
      </w:pPr>
      <w:r>
        <w:rPr>
          <w:sz w:val="24"/>
          <w:szCs w:val="24"/>
        </w:rPr>
        <w:t xml:space="preserve">Event Bus организован в виде иерархии топиков, отражающих функциональные домены системы. Каждый топик следует naming convention: &lt;domain&gt;.&lt;entity&gt;.&lt;action&gt;. Например: trading.btcusdt.signal.generated, risk.portfolio.drawdown.warning. Подписка осуществляется через wildcard паттерны: trading.*.signal.* для получения всех торговых сигналов.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50"/>
          <w:bottom w:type="dxa" w:w="100"/>
          <w:right w:type="dxa" w:w="150"/>
        </w:tblCellMar>
      </w:tblPr>
      <w:tblGrid>
        <w:gridCol w:w="2800"/>
        <w:gridCol w:w="2600"/>
        <w:gridCol w:w="3960"/>
      </w:tblGrid>
      <w:tr>
        <w:trPr>
          <w:tblHeader/>
        </w:trPr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E2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Домен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E2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Пример топика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E2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Подписчики</w:t>
            </w:r>
          </w:p>
        </w:tc>
      </w:tr>
      <w:tr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trading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trading.*.signal.*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Все боты, LOGOS, Risk Manager</w:t>
            </w:r>
          </w:p>
        </w:tc>
      </w:tr>
      <w:tr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market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market.*.orderbook.update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Helios, Architect, Argus</w:t>
            </w:r>
          </w:p>
        </w:tc>
      </w:tr>
      <w:tr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risk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risk.portfolio.*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Wolf, Kron, все боты</w:t>
            </w:r>
          </w:p>
        </w:tc>
      </w:tr>
      <w:tr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execution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execution.order.filled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Все активные боты, History</w:t>
            </w:r>
          </w:p>
        </w:tc>
      </w:tr>
      <w:tr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analytics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analytics.forecast.*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Vision, LOGOS, UI Dashboard</w:t>
            </w:r>
          </w:p>
        </w:tc>
      </w:tr>
    </w:tbl>
    <w:p>
      <w:pPr>
        <w:spacing w:before="100" w:after="200"/>
        <w:jc w:val="center"/>
      </w:pPr>
      <w:r>
        <w:rPr>
          <w:i/>
          <w:iCs/>
          <w:color w:val="64748B"/>
          <w:sz w:val="20"/>
          <w:szCs w:val="20"/>
        </w:rPr>
        <w:t xml:space="preserve">Таблица 2.2 — Топология Event Bus</w:t>
      </w:r>
    </w:p>
    <w:p>
      <w:pPr>
        <w:pStyle w:val="Heading2"/>
      </w:pPr>
      <w:r>
        <w:t xml:space="preserve">2.2 Унификация биржевых подключений</w:t>
      </w:r>
    </w:p>
    <w:p>
      <w:pPr>
        <w:spacing w:after="150" w:line="276"/>
      </w:pPr>
      <w:r>
        <w:rPr>
          <w:sz w:val="24"/>
          <w:szCs w:val="24"/>
        </w:rPr>
        <w:t xml:space="preserve">Текущая система поддерживает 5 бирж: Binance, Bybit, OKX, Biteget, Bingx. Каждая биржа имеет уникальный API, что требует дублирования логики для каждой интеграции. Предлагается создание Unified Exchange Adapter (UEA), абстрагирующего различия между биржами и предоставляющего единый интерфейс для всех ботов.</w:t>
      </w:r>
    </w:p>
    <w:p>
      <w:pPr>
        <w:pStyle w:val="Heading3"/>
      </w:pPr>
      <w:r>
        <w:t xml:space="preserve">2.2.1 Unified Exchange Adapter</w:t>
      </w:r>
    </w:p>
    <w:p>
      <w:pPr>
        <w:spacing w:after="150" w:line="276"/>
      </w:pPr>
      <w:r>
        <w:rPr>
          <w:sz w:val="24"/>
          <w:szCs w:val="24"/>
        </w:rPr>
        <w:t xml:space="preserve">UEA реализует паттерн Abstract Factory, предоставляя фабрику адаптеров для каждой поддерживаемой биржи. Все адаптеры реализуют общий интерфейс IExchangeAdapter с методами: subscribeOrderbook, placeOrder, cancelOrder, getPositions, getBalance. Внутренняя реализация скрывает особенности REST/WebSocket API каждой биржи, нормализуя форматы данных в единую модель.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50"/>
          <w:bottom w:type="dxa" w:w="100"/>
          <w:right w:type="dxa" w:w="150"/>
        </w:tblCellMar>
      </w:tblPr>
      <w:tblGrid>
        <w:gridCol w:w="2500"/>
        <w:gridCol w:w="3000"/>
        <w:gridCol w:w="3860"/>
      </w:tblGrid>
      <w:tr>
        <w:trPr>
          <w:tblHeader/>
        </w:trPr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E2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Метод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E2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Параметры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E2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Возвращаемое значение</w:t>
            </w:r>
          </w:p>
        </w:tc>
      </w:tr>
      <w:tr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subscribeOrderbook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symbol, depth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Observable&lt;OrderbookSnapshot&gt;</w:t>
            </w:r>
          </w:p>
        </w:tc>
      </w:tr>
      <w:tr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placeOrder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order: OrderRequest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Promise&lt;OrderResult&gt;</w:t>
            </w:r>
          </w:p>
        </w:tc>
      </w:tr>
      <w:tr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cancelOrder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orderId, symbol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Promise&lt;boolean&gt;</w:t>
            </w:r>
          </w:p>
        </w:tc>
      </w:tr>
      <w:tr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getPositions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symbol?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Promise&lt;Position[]&gt;</w:t>
            </w:r>
          </w:p>
        </w:tc>
      </w:tr>
      <w:tr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getBalance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asset?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Promise&lt;Balance[]&gt;</w:t>
            </w:r>
          </w:p>
        </w:tc>
      </w:tr>
    </w:tbl>
    <w:p>
      <w:pPr>
        <w:spacing w:before="100" w:after="200"/>
        <w:jc w:val="center"/>
      </w:pPr>
      <w:r>
        <w:rPr>
          <w:i/>
          <w:iCs/>
          <w:color w:val="64748B"/>
          <w:sz w:val="20"/>
          <w:szCs w:val="20"/>
        </w:rPr>
        <w:t xml:space="preserve">Таблица 2.3 — Интерфейс IExchangeAdapter</w:t>
      </w:r>
    </w:p>
    <w:p>
      <w:pPr>
        <w:pStyle w:val="Heading2"/>
      </w:pPr>
      <w:r>
        <w:t xml:space="preserve">2.3 Мультибиржевой режим</w:t>
      </w:r>
    </w:p>
    <w:p>
      <w:pPr>
        <w:spacing w:after="150" w:line="276"/>
      </w:pPr>
      <w:r>
        <w:rPr>
          <w:sz w:val="24"/>
          <w:szCs w:val="24"/>
        </w:rPr>
        <w:t xml:space="preserve">Мультибиржевой режим позволяет ботам одновременно торговать на нескольких биржах. Ключевые сценарии включают: арбитраж между биржами (Orion), агрегацию ликвидности для крупных ордеров (Kron), распределение позиций по биржам для снижения контрагентского риска (все боты). Реализация требует синхронизации балансов и позиций через единый Portfolio Manager.</w:t>
      </w:r>
    </w:p>
    <w:p>
      <w:pPr>
        <w:pStyle w:val="Heading2"/>
      </w:pPr>
      <w:r>
        <w:t xml:space="preserve">2.4 UI редизайн с трёхбуквенными кодами</w:t>
      </w:r>
    </w:p>
    <w:p>
      <w:pPr>
        <w:spacing w:after="150" w:line="276"/>
      </w:pPr>
      <w:r>
        <w:rPr>
          <w:sz w:val="24"/>
          <w:szCs w:val="24"/>
        </w:rPr>
        <w:t xml:space="preserve">Пользовательский интерфейс требует унификации отображения ботов. Вместо длинных описательных имён предлагается использовать компактные трёхбуквенные коды, что обеспечит консистентность UI, ускорит визуальное сканирование списка ботов, упростит логирование и мониторинг. Sidebar должен отражать актуальную классификацию ботов по категориям.</w:t>
      </w:r>
    </w:p>
    <w:p>
      <w:pPr>
        <w:pStyle w:val="Heading3"/>
      </w:pPr>
      <w:r>
        <w:t xml:space="preserve">2.4.1 Структура Sidebar</w:t>
      </w:r>
    </w:p>
    <w:p>
      <w:pPr>
        <w:spacing w:after="100" w:line="276"/>
      </w:pPr>
      <w:r>
        <w:rPr>
          <w:sz w:val="24"/>
          <w:szCs w:val="24"/>
        </w:rPr>
        <w:t xml:space="preserve">Предлагаемая иерархическая структура навигации:</w:t>
      </w:r>
    </w:p>
    <w:p>
      <w:pPr>
        <w:spacing w:after="50" w:line="276"/>
      </w:pPr>
      <w:r>
        <w:rPr>
          <w:b/>
          <w:bCs/>
          <w:sz w:val="24"/>
          <w:szCs w:val="24"/>
        </w:rPr>
        <w:t xml:space="preserve">Операционные боты:</w:t>
      </w:r>
    </w:p>
    <w:p>
      <w:pPr>
        <w:spacing w:after="30" w:line="276"/>
        <w:ind w:left="400"/>
      </w:pPr>
      <w:r>
        <w:rPr>
          <w:sz w:val="22"/>
          <w:szCs w:val="22"/>
        </w:rPr>
        <w:t xml:space="preserve">• MESH (GRD) — Grid Trading</w:t>
      </w:r>
    </w:p>
    <w:p>
      <w:pPr>
        <w:spacing w:after="30" w:line="276"/>
        <w:ind w:left="400"/>
      </w:pPr>
      <w:r>
        <w:rPr>
          <w:sz w:val="22"/>
          <w:szCs w:val="22"/>
        </w:rPr>
        <w:t xml:space="preserve">• SCALE (DCA) — Dollar Cost Averaging</w:t>
      </w:r>
    </w:p>
    <w:p>
      <w:pPr>
        <w:spacing w:after="30" w:line="276"/>
        <w:ind w:left="400"/>
      </w:pPr>
      <w:r>
        <w:rPr>
          <w:sz w:val="22"/>
          <w:szCs w:val="22"/>
        </w:rPr>
        <w:t xml:space="preserve">• BAND (BBB) — Bollinger Bands</w:t>
      </w:r>
    </w:p>
    <w:p>
      <w:pPr>
        <w:spacing w:after="30" w:line="276"/>
        <w:ind w:left="400"/>
      </w:pPr>
      <w:r>
        <w:rPr>
          <w:sz w:val="22"/>
          <w:szCs w:val="22"/>
        </w:rPr>
        <w:t xml:space="preserve">• EDGE (RNG) — Range Trading</w:t>
      </w:r>
    </w:p>
    <w:p>
      <w:pPr>
        <w:spacing w:after="30" w:line="276"/>
        <w:ind w:left="400"/>
      </w:pPr>
      <w:r>
        <w:rPr>
          <w:sz w:val="22"/>
          <w:szCs w:val="22"/>
        </w:rPr>
        <w:t xml:space="preserve">• Argus (PND) — Pump &amp; Dump Detection</w:t>
      </w:r>
    </w:p>
    <w:p>
      <w:pPr>
        <w:spacing w:after="30" w:line="276"/>
        <w:ind w:left="400"/>
      </w:pPr>
      <w:r>
        <w:rPr>
          <w:sz w:val="22"/>
          <w:szCs w:val="22"/>
        </w:rPr>
        <w:t xml:space="preserve">• Vision (FCS) — Forecasting</w:t>
      </w:r>
    </w:p>
    <w:p>
      <w:pPr>
        <w:spacing w:after="50" w:line="276"/>
      </w:pPr>
      <w:r>
        <w:rPr>
          <w:b/>
          <w:bCs/>
          <w:sz w:val="24"/>
          <w:szCs w:val="24"/>
        </w:rPr>
        <w:t xml:space="preserve">Институциональные боты:</w:t>
      </w:r>
    </w:p>
    <w:p>
      <w:pPr>
        <w:spacing w:after="30" w:line="276"/>
        <w:ind w:left="400"/>
      </w:pPr>
      <w:r>
        <w:rPr>
          <w:sz w:val="22"/>
          <w:szCs w:val="22"/>
        </w:rPr>
        <w:t xml:space="preserve">• Orion (ARB) — Arbitrage</w:t>
      </w:r>
    </w:p>
    <w:p>
      <w:pPr>
        <w:spacing w:after="30" w:line="276"/>
        <w:ind w:left="400"/>
      </w:pPr>
      <w:r>
        <w:rPr>
          <w:sz w:val="22"/>
          <w:szCs w:val="22"/>
        </w:rPr>
        <w:t xml:space="preserve">• Spectrum (PAR) — Pairs Trading</w:t>
      </w:r>
    </w:p>
    <w:p>
      <w:pPr>
        <w:spacing w:after="30" w:line="276"/>
        <w:ind w:left="400"/>
      </w:pPr>
      <w:r>
        <w:rPr>
          <w:sz w:val="22"/>
          <w:szCs w:val="22"/>
        </w:rPr>
        <w:t xml:space="preserve">• Reed (STA) — Statistical Trading</w:t>
      </w:r>
    </w:p>
    <w:p>
      <w:pPr>
        <w:spacing w:after="30" w:line="276"/>
        <w:ind w:left="400"/>
      </w:pPr>
      <w:r>
        <w:rPr>
          <w:sz w:val="22"/>
          <w:szCs w:val="22"/>
        </w:rPr>
        <w:t xml:space="preserve">• Architect (MMK) — Market Making</w:t>
      </w:r>
    </w:p>
    <w:p>
      <w:pPr>
        <w:spacing w:after="30" w:line="276"/>
        <w:ind w:left="400"/>
      </w:pPr>
      <w:r>
        <w:rPr>
          <w:sz w:val="22"/>
          <w:szCs w:val="22"/>
        </w:rPr>
        <w:t xml:space="preserve">• Equilibrist (MRB) — Mean Reversion Basket</w:t>
      </w:r>
    </w:p>
    <w:p>
      <w:pPr>
        <w:spacing w:after="30" w:line="276"/>
        <w:ind w:left="400"/>
      </w:pPr>
      <w:r>
        <w:rPr>
          <w:sz w:val="22"/>
          <w:szCs w:val="22"/>
        </w:rPr>
        <w:t xml:space="preserve">• Kron (TRF) — Transfer/Rebalancing</w:t>
      </w:r>
    </w:p>
    <w:p>
      <w:pPr>
        <w:spacing w:after="50" w:line="276"/>
      </w:pPr>
      <w:r>
        <w:rPr>
          <w:b/>
          <w:bCs/>
          <w:sz w:val="24"/>
          <w:szCs w:val="24"/>
        </w:rPr>
        <w:t xml:space="preserve">Частотные боты:</w:t>
      </w:r>
    </w:p>
    <w:p>
      <w:pPr>
        <w:spacing w:after="30" w:line="276"/>
        <w:ind w:left="400"/>
      </w:pPr>
      <w:r>
        <w:rPr>
          <w:sz w:val="22"/>
          <w:szCs w:val="22"/>
        </w:rPr>
        <w:t xml:space="preserve">• Helios (HFT) — High Frequency Trading</w:t>
      </w:r>
    </w:p>
    <w:p>
      <w:pPr>
        <w:spacing w:after="30" w:line="276"/>
        <w:ind w:left="400"/>
      </w:pPr>
      <w:r>
        <w:rPr>
          <w:sz w:val="22"/>
          <w:szCs w:val="22"/>
        </w:rPr>
        <w:t xml:space="preserve">• Selene (MFT) — Medium Frequency Trading</w:t>
      </w:r>
    </w:p>
    <w:p>
      <w:pPr>
        <w:spacing w:after="30" w:line="276"/>
        <w:ind w:left="400"/>
      </w:pPr>
      <w:r>
        <w:rPr>
          <w:sz w:val="22"/>
          <w:szCs w:val="22"/>
        </w:rPr>
        <w:t xml:space="preserve">• Atlas (LFT) — Low Frequency Trading</w:t>
      </w:r>
    </w:p>
    <w:p>
      <w:pPr>
        <w:spacing w:after="50" w:line="276"/>
      </w:pPr>
      <w:r>
        <w:rPr>
          <w:b/>
          <w:bCs/>
          <w:sz w:val="24"/>
          <w:szCs w:val="24"/>
        </w:rPr>
        <w:t xml:space="preserve">Аналитический модуль:</w:t>
      </w:r>
    </w:p>
    <w:p>
      <w:pPr>
        <w:spacing w:after="30" w:line="276"/>
        <w:ind w:left="400"/>
      </w:pPr>
      <w:r>
        <w:rPr>
          <w:sz w:val="22"/>
          <w:szCs w:val="22"/>
        </w:rPr>
        <w:t xml:space="preserve">• LOGOS (LOG) — Analyst &amp; Autonomous Trader</w:t>
      </w:r>
    </w:p>
    <w:p>
      <w:pPr>
        <w:pStyle w:val="Heading2"/>
      </w:pPr>
      <w:r>
        <w:t xml:space="preserve">2.5 Выявление недостающих компонентов</w:t>
      </w:r>
    </w:p>
    <w:p>
      <w:pPr>
        <w:spacing w:after="150" w:line="276"/>
      </w:pPr>
      <w:r>
        <w:rPr>
          <w:sz w:val="24"/>
          <w:szCs w:val="24"/>
        </w:rPr>
        <w:t xml:space="preserve">Анализ текущей архитектуры выявляет следующие отсутствующие компоненты, критичные для институционального уровня: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50"/>
          <w:bottom w:type="dxa" w:w="100"/>
          <w:right w:type="dxa" w:w="150"/>
        </w:tblCellMar>
      </w:tblPr>
      <w:tblGrid>
        <w:gridCol w:w="2500"/>
        <w:gridCol w:w="4500"/>
        <w:gridCol w:w="2360"/>
      </w:tblGrid>
      <w:tr>
        <w:trPr>
          <w:tblHeader/>
        </w:trPr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E2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Компонент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E2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Назначение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E2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Приоритет</w:t>
            </w:r>
          </w:p>
        </w:tc>
      </w:tr>
      <w:tr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Risk Manager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Централизованное управление рисками портфеля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jc w:val="center"/>
            </w:pPr>
            <w:r>
              <w:rPr>
                <w:b/>
                <w:bCs/>
                <w:color w:val="DC2626"/>
                <w:sz w:val="22"/>
                <w:szCs w:val="22"/>
              </w:rPr>
              <w:t xml:space="preserve">КРИТИЧЕСКИЙ</w:t>
            </w:r>
          </w:p>
        </w:tc>
      </w:tr>
      <w:tr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Compliance Module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Соответствие регуляторным требованиям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jc w:val="center"/>
            </w:pPr>
            <w:r>
              <w:rPr>
                <w:b/>
                <w:bCs/>
                <w:color w:val="D97706"/>
                <w:sz w:val="22"/>
                <w:szCs w:val="22"/>
              </w:rPr>
              <w:t xml:space="preserve">ВЫСОКИЙ</w:t>
            </w:r>
          </w:p>
        </w:tc>
      </w:tr>
      <w:tr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Audit Logger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Неизменяемый журнал всех торговых операций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jc w:val="center"/>
            </w:pPr>
            <w:r>
              <w:rPr>
                <w:b/>
                <w:bCs/>
                <w:color w:val="D97706"/>
                <w:sz w:val="22"/>
                <w:szCs w:val="22"/>
              </w:rPr>
              <w:t xml:space="preserve">ВЫСОКИЙ</w:t>
            </w:r>
          </w:p>
        </w:tc>
      </w:tr>
      <w:tr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Portfolio Manager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Агрегация позиций и балансов со всех бирж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jc w:val="center"/>
            </w:pPr>
            <w:r>
              <w:rPr>
                <w:b/>
                <w:bCs/>
                <w:color w:val="D97706"/>
                <w:sz w:val="22"/>
                <w:szCs w:val="22"/>
              </w:rPr>
              <w:t xml:space="preserve">ВЫСОКИЙ</w:t>
            </w:r>
          </w:p>
        </w:tc>
      </w:tr>
      <w:tr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Notification Hub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Централизованная система уведомлений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jc w:val="center"/>
            </w:pPr>
            <w:r>
              <w:rPr>
                <w:b/>
                <w:bCs/>
                <w:color w:val="059669"/>
                <w:sz w:val="22"/>
                <w:szCs w:val="22"/>
              </w:rPr>
              <w:t xml:space="preserve">СРЕДНИЙ</w:t>
            </w:r>
          </w:p>
        </w:tc>
      </w:tr>
      <w:tr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Performance Analytics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Расчёт метрик эффективности ботов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jc w:val="center"/>
            </w:pPr>
            <w:r>
              <w:rPr>
                <w:b/>
                <w:bCs/>
                <w:color w:val="059669"/>
                <w:sz w:val="22"/>
                <w:szCs w:val="22"/>
              </w:rPr>
              <w:t xml:space="preserve">СРЕДНИЙ</w:t>
            </w:r>
          </w:p>
        </w:tc>
      </w:tr>
    </w:tbl>
    <w:p>
      <w:pPr>
        <w:spacing w:before="100" w:after="200"/>
        <w:jc w:val="center"/>
      </w:pPr>
      <w:r>
        <w:rPr>
          <w:i/>
          <w:iCs/>
          <w:color w:val="64748B"/>
          <w:sz w:val="20"/>
          <w:szCs w:val="20"/>
        </w:rPr>
        <w:t xml:space="preserve">Таблица 2.4 — Недостающие компоненты</w:t>
      </w:r>
    </w:p>
    <w:p>
      <w:pPr>
        <w:pStyle w:val="Heading1"/>
      </w:pPr>
      <w:r>
        <w:t xml:space="preserve">3. ЭТАП 2: МОДЕРНИЗАЦИЯ АЛГОРИТМОВ</w:t>
      </w:r>
    </w:p>
    <w:p>
      <w:pPr>
        <w:pStyle w:val="Heading2"/>
      </w:pPr>
      <w:r>
        <w:t xml:space="preserve">3.1 Самообучаемые боты без нейронных сетей</w:t>
      </w:r>
    </w:p>
    <w:p>
      <w:pPr>
        <w:spacing w:after="150" w:line="276"/>
      </w:pPr>
      <w:r>
        <w:rPr>
          <w:sz w:val="24"/>
          <w:szCs w:val="24"/>
        </w:rPr>
        <w:t xml:space="preserve">Ключевой принцип модернизации — создание самообучаемых ботов без использования нейронных сетей и глубокого обучения. Такой подход обеспечивает прозрачность принимаемых решений, воспроизводимость результатов, минимальные вычислительные требования и возможность интерпретации моделей. Для самообучения применяются методы классического машинного обучения и эволюционных алгоритмов.</w:t>
      </w:r>
    </w:p>
    <w:p>
      <w:pPr>
        <w:pStyle w:val="Heading3"/>
      </w:pPr>
      <w:r>
        <w:t xml:space="preserve">3.1.1 Генетические алгоритмы оптимизации параметров</w:t>
      </w:r>
    </w:p>
    <w:p>
      <w:pPr>
        <w:spacing w:after="150" w:line="276"/>
      </w:pPr>
      <w:r>
        <w:rPr>
          <w:sz w:val="24"/>
          <w:szCs w:val="24"/>
        </w:rPr>
        <w:t xml:space="preserve">Каждый бот имеет множество параметров, влияющих на эффективность: размеры сетки для MESH (GRD), пороги RSI для BAND (BBB), периоды скользящих средних для Vision (FCS), и так далее. Генетический алгоритм автоматически оптимизирует эти параметры на основе исторических данных, постоянно адаптируясь к изменяющимся рыночным условиям.</w:t>
      </w:r>
    </w:p>
    <w:p>
      <w:pPr>
        <w:spacing w:after="150" w:line="276"/>
      </w:pPr>
      <w:r>
        <w:rPr>
          <w:sz w:val="24"/>
          <w:szCs w:val="24"/>
        </w:rPr>
        <w:t xml:space="preserve">Процесс эволюции параметров включает: инициализацию популяции случайных комбинаций параметров, оценку fitness-функции (Sharpe ratio, win rate, max drawdown) для каждой особи на backtest, селекцию лучших особей, кроссовер и мутацию для создания нового поколения, повторение цикла до сходимости. Оптимальные параметры автоматически применяются к боту после достижения целевых метрик.</w:t>
      </w:r>
    </w:p>
    <w:p>
      <w:pPr>
        <w:pStyle w:val="Heading3"/>
      </w:pPr>
      <w:r>
        <w:t xml:space="preserve">3.1.2 Классические ML-модели</w:t>
      </w:r>
    </w:p>
    <w:p>
      <w:pPr>
        <w:spacing w:after="150" w:line="276"/>
      </w:pPr>
      <w:r>
        <w:rPr>
          <w:sz w:val="24"/>
          <w:szCs w:val="24"/>
        </w:rPr>
        <w:t xml:space="preserve">Для предсказания рыночных движений и классификации сигналов применяются интерпретируемые ML-модели без использования нейронных сетей: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50"/>
          <w:bottom w:type="dxa" w:w="100"/>
          <w:right w:type="dxa" w:w="150"/>
        </w:tblCellMar>
      </w:tblPr>
      <w:tblGrid>
        <w:gridCol w:w="2200"/>
        <w:gridCol w:w="3000"/>
        <w:gridCol w:w="4160"/>
      </w:tblGrid>
      <w:tr>
        <w:trPr>
          <w:tblHeader/>
        </w:trPr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E2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Модель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E2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Применение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E2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Интеграция</w:t>
            </w:r>
          </w:p>
        </w:tc>
      </w:tr>
      <w:tr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XGBoost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Классификация сигналов BUY/SELL/HOLD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Vision, LOGOS, все боты</w:t>
            </w:r>
          </w:p>
        </w:tc>
      </w:tr>
      <w:tr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GARCH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Моделирование волатильности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Risk Manager, Helios, Architect</w:t>
            </w:r>
          </w:p>
        </w:tc>
      </w:tr>
      <w:tr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k-means / DBSCAN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Кластеризация рыночных режимов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Reed, Spectrum, LOGOS</w:t>
            </w:r>
          </w:p>
        </w:tc>
      </w:tr>
      <w:tr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HMM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Скрытые марковские модели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Regime Detection, Atlas</w:t>
            </w:r>
          </w:p>
        </w:tc>
      </w:tr>
      <w:tr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Kalman Filter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Фильтрация шумов, оценка состояния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Spectrum, Reed, Architect</w:t>
            </w:r>
          </w:p>
        </w:tc>
      </w:tr>
    </w:tbl>
    <w:p>
      <w:pPr>
        <w:spacing w:before="100" w:after="200"/>
        <w:jc w:val="center"/>
      </w:pPr>
      <w:r>
        <w:rPr>
          <w:i/>
          <w:iCs/>
          <w:color w:val="64748B"/>
          <w:sz w:val="20"/>
          <w:szCs w:val="20"/>
        </w:rPr>
        <w:t xml:space="preserve">Таблица 3.1 — Классические ML-модели для самообучения</w:t>
      </w:r>
    </w:p>
    <w:p>
      <w:pPr>
        <w:pStyle w:val="Heading3"/>
      </w:pPr>
      <w:r>
        <w:t xml:space="preserve">3.1.3 Динамическое программирование</w:t>
      </w:r>
    </w:p>
    <w:p>
      <w:pPr>
        <w:spacing w:after="150" w:line="276"/>
      </w:pPr>
      <w:r>
        <w:rPr>
          <w:sz w:val="24"/>
          <w:szCs w:val="24"/>
        </w:rPr>
        <w:t xml:space="preserve">Методы динамического программирования применяются для оптимизации последовательности торговых решений. В частности, Value Iteration и Policy Iteration используются для определения оптимальной стратегии управления позицией в зависимости от текущего состояния рынка. Q-learning (без нейронных сетей, табличный) применяется для обучения оптимальным действиям в дискретном пространстве состояний.</w:t>
      </w:r>
    </w:p>
    <w:p>
      <w:pPr>
        <w:pStyle w:val="Heading2"/>
      </w:pPr>
      <w:r>
        <w:t xml:space="preserve">3.2 Режим Demo/Paper Trading для обучения</w:t>
      </w:r>
    </w:p>
    <w:p>
      <w:pPr>
        <w:spacing w:after="150" w:line="276"/>
      </w:pPr>
      <w:r>
        <w:rPr>
          <w:sz w:val="24"/>
          <w:szCs w:val="24"/>
        </w:rPr>
        <w:t xml:space="preserve">Все боты перед переходом в реальный режим должны пройти период обучения на демо-счёте. В течение этого периода собирается статистика, рассчитываются метрики эффективности, оптимизируются параметры. Переход в реальный режим осуществляется автоматически при достижении целевых показателей: Sharpe Ratio &gt; 1.5, Win Rate &gt; 55%, Max Drawdown &lt; 10% за период не менее 30 календарных дней.</w:t>
      </w:r>
    </w:p>
    <w:p>
      <w:pPr>
        <w:pStyle w:val="Heading2"/>
      </w:pPr>
      <w:r>
        <w:t xml:space="preserve">3.3 LOGOS: Архитектура аналитического модуля</w:t>
      </w:r>
    </w:p>
    <w:p>
      <w:pPr>
        <w:spacing w:after="150" w:line="276"/>
      </w:pPr>
      <w:r>
        <w:rPr>
          <w:sz w:val="24"/>
          <w:szCs w:val="24"/>
        </w:rPr>
        <w:t xml:space="preserve">LOGOS представляет собой мета-бота, агрегирующего сигналы от всех остальных ботов и принимающего взвешенные решения на основе их качества. Архитектура LOGOS включает следующие компоненты:</w:t>
      </w:r>
    </w:p>
    <w:p>
      <w:pPr>
        <w:spacing w:after="100" w:line="276"/>
      </w:pPr>
      <w:r>
        <w:rPr>
          <w:sz w:val="24"/>
          <w:szCs w:val="24"/>
        </w:rPr>
        <w:t xml:space="preserve">Signal Aggregator — собирает сигналы от всех ботов через Event Bus, нормализует их в едином формате, рассчитывает веса на основе исторической точности каждого бота для данного рыночного режима.</w:t>
      </w:r>
    </w:p>
    <w:p>
      <w:pPr>
        <w:spacing w:after="100" w:line="276"/>
      </w:pPr>
      <w:r>
        <w:rPr>
          <w:sz w:val="24"/>
          <w:szCs w:val="24"/>
        </w:rPr>
        <w:t xml:space="preserve">Conflict Resolver — разрешает конфликты между противоречивыми сигналами, используя Bayesian Model Averaging для объединения распределений вероятностей.</w:t>
      </w:r>
    </w:p>
    <w:p>
      <w:pPr>
        <w:spacing w:after="100" w:line="276"/>
      </w:pPr>
      <w:r>
        <w:rPr>
          <w:sz w:val="24"/>
          <w:szCs w:val="24"/>
        </w:rPr>
        <w:t xml:space="preserve">Meta-Signal Generator — генерирует мета-сигналы более высокого порядка, учитывая корреляции между ботами и рыночными условиями.</w:t>
      </w:r>
    </w:p>
    <w:p>
      <w:pPr>
        <w:spacing w:after="100" w:line="276"/>
      </w:pPr>
      <w:r>
        <w:rPr>
          <w:sz w:val="24"/>
          <w:szCs w:val="24"/>
        </w:rPr>
        <w:t xml:space="preserve">Autonomous Executor — исполняет сигналы в автономном режиме с настраиваемым риск-менеджментом и ограничениями.</w:t>
      </w:r>
    </w:p>
    <w:p>
      <w:pPr>
        <w:spacing w:after="100" w:line="276"/>
      </w:pPr>
      <w:r>
        <w:rPr>
          <w:sz w:val="24"/>
          <w:szCs w:val="24"/>
        </w:rPr>
        <w:t xml:space="preserve">Performance Tracker — отслеживает эффективность собственных решений и решений других ботов, обновляет веса динамически.</w:t>
      </w:r>
    </w:p>
    <w:p>
      <w:pPr>
        <w:pStyle w:val="Heading2"/>
      </w:pPr>
      <w:r>
        <w:t xml:space="preserve">3.4 Развитие частотных ботов</w:t>
      </w:r>
    </w:p>
    <w:p>
      <w:pPr>
        <w:pStyle w:val="Heading3"/>
      </w:pPr>
      <w:r>
        <w:t xml:space="preserve">3.4.1 Helios (HFT)</w:t>
      </w:r>
    </w:p>
    <w:p>
      <w:pPr>
        <w:spacing w:after="150" w:line="276"/>
      </w:pPr>
      <w:r>
        <w:rPr>
          <w:sz w:val="24"/>
          <w:szCs w:val="24"/>
        </w:rPr>
        <w:t xml:space="preserve">Helios требует максимальной оптимизации для достижения субмиллисекундного latency. Текущая реализация на TypeScript/Node.js может быть дополнена Rust-модулями для критичных участков: парсинг WebSocket-сообщений, расчёт microstructure metrics, генерация сигналов. Альтернативно — использование Aeron для ультранизколатентного взаимодействия между компонентами.</w:t>
      </w:r>
    </w:p>
    <w:p>
      <w:pPr>
        <w:spacing w:after="150" w:line="276"/>
      </w:pPr>
      <w:r>
        <w:rPr>
          <w:sz w:val="24"/>
          <w:szCs w:val="24"/>
        </w:rPr>
        <w:t xml:space="preserve">Ключевые алгоритмы Helios: 10-layer Confirmation Engine для фильтрации сигналов, Microstructure Analyzer для детекции iceberg orders и spoofing, VWAP/TWAP execution algorithms. Механизм самообучения: онлайн-оптимизация параметров confirmation engine на основе feedback от исполненных сделок.</w:t>
      </w:r>
    </w:p>
    <w:p>
      <w:pPr>
        <w:pStyle w:val="Heading3"/>
      </w:pPr>
      <w:r>
        <w:t xml:space="preserve">3.4.2 Selene (MFT)</w:t>
      </w:r>
    </w:p>
    <w:p>
      <w:pPr>
        <w:spacing w:after="150" w:line="276"/>
      </w:pPr>
      <w:r>
        <w:rPr>
          <w:sz w:val="24"/>
          <w:szCs w:val="24"/>
        </w:rPr>
        <w:t xml:space="preserve">Selene реализует стратегии среднего временного горизонта с использованием Volume Profile, VWAP, и регис-детекции. Самообучение включает: адаптивную настройку VWAP deviation thresholds на основе волатильности, оптимизацию параметров Volume Profile (POC weight, Value Area), динамический выбор стратегии в зависимости от market regime.</w:t>
      </w:r>
    </w:p>
    <w:p>
      <w:pPr>
        <w:pStyle w:val="Heading3"/>
      </w:pPr>
      <w:r>
        <w:t xml:space="preserve">3.4.3 Atlas (LFT)</w:t>
      </w:r>
    </w:p>
    <w:p>
      <w:pPr>
        <w:spacing w:after="150" w:line="276"/>
      </w:pPr>
      <w:r>
        <w:rPr>
          <w:sz w:val="24"/>
          <w:szCs w:val="24"/>
        </w:rPr>
        <w:t xml:space="preserve">Atlas фокусируется на долгосрочных позициях с использованием multi-timeframe analysis, trend following, и macro momentum. Самообучение включает: оптимизацию параметров trend confirmation (SMA periods, ADX thresholds), адаптацию pyramiding strategy на основе correlation analysis, интеграцию macro indicators (fear/greed, funding rates) с динамическими весами.</w:t>
      </w:r>
    </w:p>
    <w:p>
      <w:pPr>
        <w:pStyle w:val="Heading1"/>
      </w:pPr>
      <w:r>
        <w:t xml:space="preserve">4. ПЛАН РЕАЛИЗАЦИИ</w:t>
      </w:r>
    </w:p>
    <w:p>
      <w:pPr>
        <w:pStyle w:val="Heading2"/>
      </w:pPr>
      <w:r>
        <w:t xml:space="preserve">4.1 Временные рамки</w:t>
      </w:r>
    </w:p>
    <w:p>
      <w:pPr>
        <w:spacing w:after="150" w:line="276"/>
      </w:pPr>
      <w:r>
        <w:rPr>
          <w:sz w:val="24"/>
          <w:szCs w:val="24"/>
        </w:rPr>
        <w:t xml:space="preserve">Общий горизонт реализации: 12-18 месяцев с промежуточными milestone каждые 6 недель. Этап 1 занимает 6-9 месяцев, Этап 2 — 6-9 месяцев с возможностью параллельного выполнения некоторых задач.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50"/>
          <w:bottom w:type="dxa" w:w="100"/>
          <w:right w:type="dxa" w:w="150"/>
        </w:tblCellMar>
      </w:tblPr>
      <w:tblGrid>
        <w:gridCol w:w="2000"/>
        <w:gridCol w:w="2500"/>
        <w:gridCol w:w="4860"/>
      </w:tblGrid>
      <w:tr>
        <w:trPr>
          <w:tblHeader/>
        </w:trPr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E2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Период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E2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Этап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E2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Ключевые задачи</w:t>
            </w:r>
          </w:p>
        </w:tc>
      </w:tr>
      <w:tr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Недели 1-6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Этап 1.1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NATS JetStream интеграция, Event Bus</w:t>
            </w:r>
          </w:p>
        </w:tc>
      </w:tr>
      <w:tr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Недели 7-12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Этап 1.2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Unified Exchange Adapter</w:t>
            </w:r>
          </w:p>
        </w:tc>
      </w:tr>
      <w:tr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Недели 13-18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Этап 1.3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Risk Manager, Portfolio Manager</w:t>
            </w:r>
          </w:p>
        </w:tc>
      </w:tr>
      <w:tr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Недели 19-24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Этап 1.4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UI редизайн, интеграция ботов</w:t>
            </w:r>
          </w:p>
        </w:tc>
      </w:tr>
      <w:tr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Недели 25-36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Этап 2.1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Генетические алгоритмы, ML pipeline</w:t>
            </w:r>
          </w:p>
        </w:tc>
      </w:tr>
      <w:tr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Недели 37-48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Этап 2.2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LOGOS, частотные боты, самообучение</w:t>
            </w:r>
          </w:p>
        </w:tc>
      </w:tr>
      <w:tr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Недели 49-72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Этап 2.3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Тестирование, оптимизация, продакшн</w:t>
            </w:r>
          </w:p>
        </w:tc>
      </w:tr>
    </w:tbl>
    <w:p>
      <w:pPr>
        <w:spacing w:before="100" w:after="200"/>
        <w:jc w:val="center"/>
      </w:pPr>
      <w:r>
        <w:rPr>
          <w:i/>
          <w:iCs/>
          <w:color w:val="64748B"/>
          <w:sz w:val="20"/>
          <w:szCs w:val="20"/>
        </w:rPr>
        <w:t xml:space="preserve">Таблица 4.1 — План реализации</w:t>
      </w:r>
    </w:p>
    <w:p>
      <w:pPr>
        <w:pStyle w:val="Heading2"/>
      </w:pPr>
      <w:r>
        <w:t xml:space="preserve">4.2 Технологический стек</w:t>
      </w:r>
    </w:p>
    <w:p>
      <w:pPr>
        <w:spacing w:after="150" w:line="276"/>
      </w:pPr>
      <w:r>
        <w:rPr>
          <w:sz w:val="24"/>
          <w:szCs w:val="24"/>
        </w:rPr>
        <w:t xml:space="preserve">Frontend сохраняется на Next.js 15 с TypeScript. Backend дополняется следующими технологиями: NATS JetStream (message broker), Python 3.11 (ML pipeline, генетические алгоритмы), Rust (опционально для HFT-компонентов), TimescaleDB (time-series данные), Redis (кэширование, real-time агрегации). Такое разделение обеспечивает оптимальное соотношение производительности и удобства разработки.</w:t>
      </w:r>
    </w:p>
    <w:p>
      <w:pPr>
        <w:pStyle w:val="Heading2"/>
      </w:pPr>
      <w:r>
        <w:t xml:space="preserve">4.3 Критерии успеха</w:t>
      </w:r>
    </w:p>
    <w:p>
      <w:pPr>
        <w:spacing w:after="150" w:line="276"/>
      </w:pPr>
      <w:r>
        <w:rPr>
          <w:sz w:val="24"/>
          <w:szCs w:val="24"/>
        </w:rPr>
        <w:t xml:space="preserve">Критерии успеха для каждого этапа включают количественные метрики. Этап 1 считается успешным при: latency событий через Event Bus &lt; 10ms, 100% интеграция всех ботов в Event Bus, успешное подключение всех 5 бирж через UEA, корректное отображение всех ботов в UI с трёхбуквенными кодами. Этап 2 считается успешным при: Sharpe Ratio каждого бота &gt; 1.5 на backtest за 90 дней, автоматическая оптимизация параметров функционирует, LOGOS демонстрирует положительный PnL в paper trading режиме в течение 30 дней.</w:t>
      </w:r>
    </w:p>
    <w:sectPr>
      <w:headerReference w:type="default" r:id="rId6"/>
      <w:footerReference w:type="default" r:id="rId7"/>
      <w:pgSz w:w="11906" w:h="16838" w:orient="portrait"/>
      <w:pgMar w:top="180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—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4748B"/>
        <w:sz w:val="20"/>
        <w:szCs w:val="20"/>
      </w:rPr>
      <w:t xml:space="preserve">CITARION — Архитектурный план модернизации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Times New Roman" w:cs="Times New Roman" w:eastAsia="Times New Roman" w:hAnsi="Times New Roman"/>
      <w:b/>
      <w:bCs/>
      <w:color w:val="020617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Times New Roman" w:cs="Times New Roman" w:eastAsia="Times New Roman" w:hAnsi="Times New Roman"/>
      <w:b/>
      <w:bCs/>
      <w:color w:val="020617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Times New Roman" w:cs="Times New Roman" w:eastAsia="Times New Roman" w:hAnsi="Times New Roman"/>
      <w:b/>
      <w:bCs/>
      <w:color w:val="1E293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Times New Roman" w:cs="Times New Roman" w:eastAsia="Times New Roman" w:hAnsi="Times New Roman"/>
      <w:b/>
      <w:bCs/>
      <w:color w:val="64748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2026-02-28T22:49:18.956Z</dcterms:created>
  <dcterms:modified xsi:type="dcterms:W3CDTF">2026-02-28T22:49:18.978Z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