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Calibri" w:cs="Calibri" w:eastAsia="Calibri" w:hAnsi="Calibri"/>
          <w:sz w:val="22"/>
          <w:szCs w:val="22"/>
        </w:rPr>
        <w:t xml:space="preserve"/>
      </w:r>
    </w:p>
    <w:p>
      <w:pPr>
        <w:spacing w:after="120" w:before="400"/>
        <w:jc w:val="center"/>
      </w:pPr>
      <w:r>
        <w:rPr>
          <w:rFonts w:ascii="Calibri" w:cs="Calibri" w:eastAsia="Calibri" w:hAnsi="Calibri"/>
          <w:b/>
          <w:bCs/>
          <w:sz w:val="40"/>
          <w:szCs w:val="40"/>
        </w:rPr>
        <w:t xml:space="preserve">Can a Computer Read the Fed?</w:t>
      </w:r>
    </w:p>
    <w:p>
      <w:pPr>
        <w:spacing w:after="800"/>
        <w:jc w:val="center"/>
      </w:pPr>
      <w:r>
        <w:rPr>
          <w:rFonts w:ascii="Calibri" w:cs="Calibri" w:eastAsia="Calibri" w:hAnsi="Calibri"/>
          <w:i/>
          <w:iCs/>
          <w:sz w:val="28"/>
          <w:szCs w:val="28"/>
        </w:rPr>
        <w:t xml:space="preserve">NLP, Prediction Markets, and FOMC Informational Efficiency</w:t>
      </w:r>
    </w:p>
    <w:p>
      <w:pPr>
        <w:spacing w:after="1200"/>
        <w:jc w:val="center"/>
      </w:pPr>
      <w:r>
        <w:rPr>
          <w:rFonts w:ascii="Calibri" w:cs="Calibri" w:eastAsia="Calibri" w:hAnsi="Calibri"/>
          <w:b/>
          <w:bCs/>
          <w:sz w:val="22"/>
          <w:szCs w:val="22"/>
        </w:rPr>
        <w:t xml:space="preserve">FT370 Natural Language Processing in Finance — Final Report</w:t>
      </w:r>
    </w:p>
    <w:p>
      <w:pPr>
        <w:spacing w:after="80"/>
        <w:jc w:val="center"/>
      </w:pPr>
      <w:r>
        <w:rPr>
          <w:rFonts w:ascii="Calibri" w:cs="Calibri" w:eastAsia="Calibri" w:hAnsi="Calibri"/>
          <w:b/>
          <w:bCs/>
          <w:sz w:val="26"/>
          <w:szCs w:val="26"/>
        </w:rPr>
        <w:t xml:space="preserve">Nic Saliou</w:t>
      </w:r>
    </w:p>
    <w:p>
      <w:pPr>
        <w:spacing w:after="80"/>
        <w:jc w:val="center"/>
      </w:pPr>
      <w:r>
        <w:rPr>
          <w:rFonts w:ascii="Calibri" w:cs="Calibri" w:eastAsia="Calibri" w:hAnsi="Calibri"/>
          <w:sz w:val="22"/>
          <w:szCs w:val="22"/>
        </w:rPr>
        <w:t xml:space="preserve">Advisor: Professor Cong Zhang</w:t>
      </w:r>
    </w:p>
    <w:p>
      <w:pPr>
        <w:spacing w:after="80"/>
        <w:jc w:val="center"/>
      </w:pPr>
      <w:r>
        <w:rPr>
          <w:rFonts w:ascii="Calibri" w:cs="Calibri" w:eastAsia="Calibri" w:hAnsi="Calibri"/>
          <w:sz w:val="22"/>
          <w:szCs w:val="22"/>
        </w:rPr>
        <w:t xml:space="preserve">Bentley University</w:t>
      </w:r>
    </w:p>
    <w:p>
      <w:pPr>
        <w:spacing w:after="1200"/>
        <w:jc w:val="center"/>
      </w:pPr>
      <w:r>
        <w:rPr>
          <w:rFonts w:ascii="Calibri" w:cs="Calibri" w:eastAsia="Calibri" w:hAnsi="Calibri"/>
          <w:sz w:val="22"/>
          <w:szCs w:val="22"/>
        </w:rPr>
        <w:t xml:space="preserve">May 2026</w:t>
      </w:r>
    </w:p>
    <w:p>
      <w:pPr>
        <w:spacing w:after="0"/>
        <w:jc w:val="center"/>
      </w:pPr>
      <w:r>
        <w:rPr>
          <w:rFonts w:ascii="Calibri" w:cs="Calibri" w:eastAsia="Calibri" w:hAnsi="Calibri"/>
          <w:i/>
          <w:iCs/>
          <w:sz w:val="20"/>
          <w:szCs w:val="20"/>
        </w:rPr>
        <w:t xml:space="preserve">Developed in collaboration with AI tools (Claude by Anthropic). All prompts and methodology decisions disclosed.</w:t>
      </w:r>
    </w:p>
    <w:p>
      <w:pPr>
        <w:pStyle w:val="Heading1"/>
        <w:pageBreakBefore/>
        <w:spacing w:after="160" w:before="0"/>
      </w:pPr>
      <w:r>
        <w:rPr>
          <w:rFonts w:ascii="Calibri" w:cs="Calibri" w:eastAsia="Calibri" w:hAnsi="Calibri"/>
          <w:b/>
          <w:bCs/>
          <w:sz w:val="28"/>
          <w:szCs w:val="28"/>
        </w:rPr>
        <w:t xml:space="preserve">Abstract</w:t>
      </w:r>
    </w:p>
    <w:p>
      <w:pPr>
        <w:spacing w:after="120" w:line="276"/>
        <w:jc w:val="both"/>
      </w:pPr>
      <w:r>
        <w:rPr>
          <w:rFonts w:ascii="Calibri" w:cs="Calibri" w:eastAsia="Calibri" w:hAnsi="Calibri"/>
          <w:sz w:val="22"/>
          <w:szCs w:val="22"/>
        </w:rPr>
        <w:t xml:space="preserve">We apply Loughran–McDonald (LM) dictionary signals, fine-tuned transformer classifiers, and Bernanke–Kuttner surprise methodology to Federal Reserve communications across 62 FOMC meetings (2018–2026) and find that Kalshi rate-decision prediction markets are efficient by every test we constructed: efficient against text signals (Phase 1), efficient against domain-adapted machine-learning models (Phase 2), and efficient even against their own realized surprise residuals at a 7-day horizon (Phase 3v2). Across 23 meetings of complete Kalshi data, the correlation between the T-7 implied expected basis points and the T-1 implied expected basis points is 0.9993 — confirming that the market reaches its final probabilistic assessment a full week before each announcement and does not materially revise. The optimal MixMCP blend of textual signal and Kalshi mention-market price is α* = 0.00 for both LM (replicating Kim et al. 2026) and a fine-tuned FinBERT-FOMC model; zero of twelve OLS regressions on rate-sensitive ETFs survive Bonferroni correction in the textual-signal phase; and the Bernanke–Kuttner surprise specification on IEI and KRE produces null results (p = 0.963 and p = 0.116, respectively) under HAC standard errors. We do not interpret these as methodology failures. Each phase raises the bar for the efficiency test, and the cumulative finding — Kalshi efficient against text, against ML, and against its own surprise residual — is the contribution. The structural decomposition explains the mechanism: bag-of-words methods cannot resolve the semantic framing of hawkish/dovish direction (LM Spearman r ≈ 0.07 across 976 labels from two independent corpora), while domain-adapted transformers close roughly 80% of the paragraph-level gap (FinBERT r = 0.348; DistilBERT zero-shot r = 0.866) without penetrating the Kalshi efficient frontier. The corr(T-7, T-1) = 0.9993 finding is consistent with concurrent Federal Reserve research (Diercks, Katz &amp; Wright, 2026) showing the Kalshi mean absolute error curve flattens near T-10.</w:t>
      </w:r>
    </w:p>
    <w:p>
      <w:pPr>
        <w:spacing w:after="120" w:line="276"/>
        <w:jc w:val="both"/>
      </w:pPr>
      <w:r>
        <w:rPr>
          <w:rFonts w:ascii="Calibri" w:cs="Calibri" w:eastAsia="Calibri" w:hAnsi="Calibri"/>
          <w:b/>
          <w:bCs/>
          <w:sz w:val="22"/>
          <w:szCs w:val="22"/>
        </w:rPr>
        <w:t xml:space="preserve">Keywords: </w:t>
      </w:r>
      <w:r>
        <w:rPr>
          <w:rFonts w:ascii="Calibri" w:cs="Calibri" w:eastAsia="Calibri" w:hAnsi="Calibri"/>
          <w:sz w:val="22"/>
          <w:szCs w:val="22"/>
        </w:rPr>
        <w:t xml:space="preserve">Loughran–McDonald dictionary · FinBERT · FOMC · prediction markets · Kalshi · Brier score · Bernanke–Kuttner surprise · market efficiency · NLP</w:t>
      </w:r>
    </w:p>
    <w:p>
      <w:pPr>
        <w:pStyle w:val="Heading1"/>
        <w:pageBreakBefore/>
        <w:spacing w:after="160" w:before="0"/>
      </w:pPr>
      <w:r>
        <w:rPr>
          <w:rFonts w:ascii="Calibri" w:cs="Calibri" w:eastAsia="Calibri" w:hAnsi="Calibri"/>
          <w:b/>
          <w:bCs/>
          <w:sz w:val="28"/>
          <w:szCs w:val="28"/>
        </w:rPr>
        <w:t xml:space="preserve">1. Introduction</w:t>
      </w:r>
    </w:p>
    <w:p>
      <w:pPr>
        <w:pStyle w:val="Heading2"/>
        <w:spacing w:after="120" w:before="240"/>
      </w:pPr>
      <w:r>
        <w:rPr>
          <w:rFonts w:ascii="Calibri" w:cs="Calibri" w:eastAsia="Calibri" w:hAnsi="Calibri"/>
          <w:b/>
          <w:bCs/>
          <w:sz w:val="24"/>
          <w:szCs w:val="24"/>
        </w:rPr>
        <w:t xml:space="preserve">1.1 Motivation</w:t>
      </w:r>
    </w:p>
    <w:p>
      <w:pPr>
        <w:spacing w:after="120" w:line="276"/>
        <w:jc w:val="both"/>
      </w:pPr>
      <w:r>
        <w:rPr>
          <w:rFonts w:ascii="Calibri" w:cs="Calibri" w:eastAsia="Calibri" w:hAnsi="Calibri"/>
          <w:sz w:val="22"/>
          <w:szCs w:val="22"/>
        </w:rPr>
        <w:t xml:space="preserve">Federal Reserve communications are among the most consequential financial texts produced anywhere in the global economy. A single paragraph from a Powell speech can move Treasury yields by 10 basis points and equity indices by 1 percent or more (Gorodnichenko, Pham &amp; Talavera, 2023; Schmeling &amp; Wagner, 2024). The policy direction embedded in these communications — whether the Fed is signaling tightening, easing, or holding — carries economic information that markets absorb rapidly.</w:t>
      </w:r>
    </w:p>
    <w:p>
      <w:pPr>
        <w:spacing w:after="120" w:line="276"/>
        <w:jc w:val="both"/>
      </w:pPr>
      <w:r>
        <w:rPr>
          <w:rFonts w:ascii="Calibri" w:cs="Calibri" w:eastAsia="Calibri" w:hAnsi="Calibri"/>
          <w:sz w:val="22"/>
          <w:szCs w:val="22"/>
        </w:rPr>
        <w:t xml:space="preserve">Simultaneously, prediction markets have emerged as credible venues for aggregating expectations about Fed decisions. Diercks, Katz &amp; Wright (2026) — a Federal Reserve FEDS paper published in February 2026 — document that Kalshi's rate-decision markets achieve a perfect modal forecast record on the day before each FOMC meeting since 2022, statistically improving on fed funds futures and matching the Bloomberg consensus and FRBNY Survey of Market Expectations. Their Figure 1 shows that the Kalshi mean absolute error curve flattens near T-10, suggesting that whatever information the market is going to incorporate is already incorporated by approximately one week before the announcement. Kim et al. (2026) extend this efficiency finding to a different class of Kalshi market: large language model signals barely improve on Kalshi prices for earnings-call mention markets, with an optimal blend weight near zero on the textual signal.</w:t>
      </w:r>
    </w:p>
    <w:p>
      <w:pPr>
        <w:spacing w:after="120" w:line="276"/>
        <w:jc w:val="both"/>
      </w:pPr>
      <w:r>
        <w:rPr>
          <w:rFonts w:ascii="Calibri" w:cs="Calibri" w:eastAsia="Calibri" w:hAnsi="Calibri"/>
          <w:sz w:val="22"/>
          <w:szCs w:val="22"/>
        </w:rPr>
        <w:t xml:space="preserve">This project asks the natural joint question. If Federal Reserve text contains hawkish/dovish information, can any modern NLP method — dictionary, transformer, or market-residual — extract value that is not already reflected in Kalshi prices around FOMC meetings? Equivalently: how efficient is Kalshi against the full spectrum of available textual and market-derived signals?</w:t>
      </w:r>
    </w:p>
    <w:p>
      <w:pPr>
        <w:pStyle w:val="Heading2"/>
        <w:spacing w:after="120" w:before="240"/>
      </w:pPr>
      <w:r>
        <w:rPr>
          <w:rFonts w:ascii="Calibri" w:cs="Calibri" w:eastAsia="Calibri" w:hAnsi="Calibri"/>
          <w:b/>
          <w:bCs/>
          <w:sz w:val="24"/>
          <w:szCs w:val="24"/>
        </w:rPr>
        <w:t xml:space="preserve">1.2 Divergence from Standard Assignment</w:t>
      </w:r>
    </w:p>
    <w:p>
      <w:pPr>
        <w:spacing w:after="120" w:line="276"/>
        <w:jc w:val="both"/>
      </w:pPr>
      <w:r>
        <w:rPr>
          <w:rFonts w:ascii="Calibri" w:cs="Calibri" w:eastAsia="Calibri" w:hAnsi="Calibri"/>
          <w:sz w:val="22"/>
          <w:szCs w:val="22"/>
        </w:rPr>
        <w:t xml:space="preserve">The FT370 Part 2 assignment specifies LM 7-category sentiment scoring of 10-K and 10-Q filings, joined to monthly stock returns, with a quintile long-short backtest reporting fractile returns, IC, IR, hit rate, and regression. With the advisor's approval, this project replaces the SEC-filing corpus with Federal Reserve communications and replaces monthly equity returns with rate-sensitive ETF returns around 68 FOMC meeting dates. The motivation for the swap is twofold: first, Fed text is a more concentrated and regime-relevant signal than the diffuse 10-K/10-Q text of thousands of issuers; second, the existence of a credible meeting-level prediction market (Kalshi) enables direct efficiency tests of the textual signal against a market benchmark in a way that would not be available with 10-K/10-Q text. The portfolio-construction backbone of the assignment — fractile returns, IC, IR, hit rate, and regression — is preserved and reported in full in Section 5.3.</w:t>
      </w:r>
    </w:p>
    <w:p>
      <w:pPr>
        <w:pStyle w:val="Heading2"/>
        <w:spacing w:after="120" w:before="240"/>
      </w:pPr>
      <w:r>
        <w:rPr>
          <w:rFonts w:ascii="Calibri" w:cs="Calibri" w:eastAsia="Calibri" w:hAnsi="Calibri"/>
          <w:b/>
          <w:bCs/>
          <w:sz w:val="24"/>
          <w:szCs w:val="24"/>
        </w:rPr>
        <w:t xml:space="preserve">1.3 Unified Thesis</w:t>
      </w:r>
    </w:p>
    <w:p>
      <w:pPr>
        <w:spacing w:after="120" w:line="276"/>
        <w:jc w:val="both"/>
      </w:pPr>
      <w:r>
        <w:rPr>
          <w:rFonts w:ascii="Calibri" w:cs="Calibri" w:eastAsia="Calibri" w:hAnsi="Calibri"/>
          <w:i/>
          <w:iCs/>
          <w:sz w:val="22"/>
          <w:szCs w:val="22"/>
        </w:rPr>
        <w:t xml:space="preserve">Kalshi FOMC rate-decision markets are efficient by every test we constructed: efficient against LM dictionary signals (Phase 1), efficient against domain-adapted transformer classifiers (Phase 2), and efficient even against their own realized surprise residual at a 7-day horizon (Phase 3v2). This is not three independent null results. It is a progressively stronger efficiency finding. Each phase raised the bar and obtained the same answer with more force.</w:t>
      </w:r>
    </w:p>
    <w:p>
      <w:pPr>
        <w:pStyle w:val="Heading2"/>
        <w:spacing w:after="120" w:before="240"/>
      </w:pPr>
      <w:r>
        <w:rPr>
          <w:rFonts w:ascii="Calibri" w:cs="Calibri" w:eastAsia="Calibri" w:hAnsi="Calibri"/>
          <w:b/>
          <w:bCs/>
          <w:sz w:val="24"/>
          <w:szCs w:val="24"/>
        </w:rPr>
        <w:t xml:space="preserve">1.4 Roadmap</w:t>
      </w:r>
    </w:p>
    <w:p>
      <w:pPr>
        <w:spacing w:after="120" w:line="276"/>
        <w:jc w:val="both"/>
      </w:pPr>
      <w:r>
        <w:rPr>
          <w:rFonts w:ascii="Calibri" w:cs="Calibri" w:eastAsia="Calibri" w:hAnsi="Calibri"/>
          <w:sz w:val="22"/>
          <w:szCs w:val="22"/>
        </w:rPr>
        <w:t xml:space="preserve">Section 2 surveys the relevant literature. Section 3 documents the unified data assembly: 254 Federal Reserve documents, Kalshi rate-decision and mention markets, the Shah et al. (2023) labeled FOMC dataset, and rate-sensitive ETF returns. Section 4 sets out the four-phase methodology. Section 5 presents results: Phase 1 (LM dictionary), Phase 2 (transformer fine-tuning), Phase 3v1 (Kalshi expectation portfolio with full assignment-rubric statistics), and Phase 3v2 (Bernanke–Kuttner surprise specification). Section 6 discusses what the strategies capture, why they are mostly null, consistency with prior work, signal complementarity, and improvements. Section 7 consolidates limitations. Section 8 concludes. Appendix A reproduces the figure reference guide. References are deduplicated at the end.</w:t>
      </w:r>
    </w:p>
    <w:p>
      <w:pPr>
        <w:pStyle w:val="Heading1"/>
        <w:pageBreakBefore/>
        <w:spacing w:after="160" w:before="0"/>
      </w:pPr>
      <w:r>
        <w:rPr>
          <w:rFonts w:ascii="Calibri" w:cs="Calibri" w:eastAsia="Calibri" w:hAnsi="Calibri"/>
          <w:b/>
          <w:bCs/>
          <w:sz w:val="28"/>
          <w:szCs w:val="28"/>
        </w:rPr>
        <w:t xml:space="preserve">2. Related Literature</w:t>
      </w:r>
    </w:p>
    <w:p>
      <w:pPr>
        <w:pStyle w:val="Heading2"/>
        <w:spacing w:after="120" w:before="240"/>
      </w:pPr>
      <w:r>
        <w:rPr>
          <w:rFonts w:ascii="Calibri" w:cs="Calibri" w:eastAsia="Calibri" w:hAnsi="Calibri"/>
          <w:b/>
          <w:bCs/>
          <w:sz w:val="24"/>
          <w:szCs w:val="24"/>
        </w:rPr>
        <w:t xml:space="preserve">2.1 Loughran–McDonald and Financial Text</w:t>
      </w:r>
    </w:p>
    <w:p>
      <w:pPr>
        <w:spacing w:after="120" w:line="276"/>
        <w:jc w:val="both"/>
      </w:pPr>
      <w:r>
        <w:rPr>
          <w:rFonts w:ascii="Calibri" w:cs="Calibri" w:eastAsia="Calibri" w:hAnsi="Calibri"/>
          <w:sz w:val="22"/>
          <w:szCs w:val="22"/>
        </w:rPr>
        <w:t xml:space="preserve">Loughran &amp; McDonald (2011) construct a financial-domain sentiment dictionary that has become the standard for NLP analysis of SEC filings. Unlike general-purpose dictionaries, LM recognizes that words such as “liability” are negative in legal contexts but neutral in everyday speech. The 2020 Master Dictionary covers seven categories — Negative, Positive, Uncertainty, Litigious, Strong Modal, Weak Modal, and Constraining — and is implemented as a binary word-list classifier with optional negation handling. Sert &amp; Usta (2026) apply LM to FOMC statements and minutes, finding document-type effects on the resulting tone measures. Gu et al. (2022) apply the LM tonality formula to FOMC minutes.</w:t>
      </w:r>
    </w:p>
    <w:p>
      <w:pPr>
        <w:pStyle w:val="Heading2"/>
        <w:spacing w:after="120" w:before="240"/>
      </w:pPr>
      <w:r>
        <w:rPr>
          <w:rFonts w:ascii="Calibri" w:cs="Calibri" w:eastAsia="Calibri" w:hAnsi="Calibri"/>
          <w:b/>
          <w:bCs/>
          <w:sz w:val="24"/>
          <w:szCs w:val="24"/>
        </w:rPr>
        <w:t xml:space="preserve">2.2 Federal Reserve Tone and Asset Prices</w:t>
      </w:r>
    </w:p>
    <w:p>
      <w:pPr>
        <w:spacing w:after="120" w:line="276"/>
        <w:jc w:val="both"/>
      </w:pPr>
      <w:r>
        <w:rPr>
          <w:rFonts w:ascii="Calibri" w:cs="Calibri" w:eastAsia="Calibri" w:hAnsi="Calibri"/>
          <w:sz w:val="22"/>
          <w:szCs w:val="22"/>
        </w:rPr>
        <w:t xml:space="preserve">Gorodnichenko, Pham &amp; Talavera (2023) find in the American Economic Review that Fed Chair tone surprises — measured via vocal pitch and Twitter-derived sentiment — move asset prices around FOMC press conferences. Schmeling &amp; Wagner (2024) document in the Journal of Financial and Quantitative Analysis that Fed Chair sentiment extracted from press conference transcripts moves both stock prices and volatility, with cross-sectional heterogeneity by sector. Cieslak, Morse &amp; Vissing-Jørgensen (2019) document the “pre-FOMC drift,” a systematic pattern of equity returns in the days preceding FOMC announcements. We test whether a dictionary-based measure (Phase 1) and a transformer-based measure (Phase 2) of the same underlying tonal construct carry similar predictive power around the meeting event window.</w:t>
      </w:r>
    </w:p>
    <w:p>
      <w:pPr>
        <w:pStyle w:val="Heading2"/>
        <w:spacing w:after="120" w:before="240"/>
      </w:pPr>
      <w:r>
        <w:rPr>
          <w:rFonts w:ascii="Calibri" w:cs="Calibri" w:eastAsia="Calibri" w:hAnsi="Calibri"/>
          <w:b/>
          <w:bCs/>
          <w:sz w:val="24"/>
          <w:szCs w:val="24"/>
        </w:rPr>
        <w:t xml:space="preserve">2.3 The Bernanke–Kuttner Tradition</w:t>
      </w:r>
    </w:p>
    <w:p>
      <w:pPr>
        <w:spacing w:after="120" w:line="276"/>
        <w:jc w:val="both"/>
      </w:pPr>
      <w:r>
        <w:rPr>
          <w:rFonts w:ascii="Calibri" w:cs="Calibri" w:eastAsia="Calibri" w:hAnsi="Calibri"/>
          <w:sz w:val="22"/>
          <w:szCs w:val="22"/>
        </w:rPr>
        <w:t xml:space="preserve">Bernanke &amp; Kuttner (2005) and Kuttner (2001) establish the canonical event-study methodology for FOMC-day asset returns: regress the post-announcement asset return on the surprise component of the rate decision, where surprise is defined as the actual decision minus the market-implied expectation extracted from fed funds futures contracts. Their bond regressions on a 1994–2002 sample produce R² values between 0.40 and 0.79, with surprise standard deviations of 10–15 basis points. Gürkaynak, Sack &amp; Swanson (2005) extend the framework to multiple policy “factors” (target, path, and forward-guidance shocks). Cieslak (2018) documents that surprise effects are strongly regime-dependent, with much smaller surprise variance in the post-2012 forward-guidance era. Phase 3v2 of this project adapts the Bernanke–Kuttner specification, replacing fed funds futures with Kalshi T-7 implied expected bps as the benchmark of expectation.</w:t>
      </w:r>
    </w:p>
    <w:p>
      <w:pPr>
        <w:pStyle w:val="Heading2"/>
        <w:spacing w:after="120" w:before="240"/>
      </w:pPr>
      <w:r>
        <w:rPr>
          <w:rFonts w:ascii="Calibri" w:cs="Calibri" w:eastAsia="Calibri" w:hAnsi="Calibri"/>
          <w:b/>
          <w:bCs/>
          <w:sz w:val="24"/>
          <w:szCs w:val="24"/>
        </w:rPr>
        <w:t xml:space="preserve">2.4 Prediction Market Efficiency</w:t>
      </w:r>
    </w:p>
    <w:p>
      <w:pPr>
        <w:spacing w:after="120" w:line="276"/>
        <w:jc w:val="both"/>
      </w:pPr>
      <w:r>
        <w:rPr>
          <w:rFonts w:ascii="Calibri" w:cs="Calibri" w:eastAsia="Calibri" w:hAnsi="Calibri"/>
          <w:sz w:val="22"/>
          <w:szCs w:val="22"/>
        </w:rPr>
        <w:t xml:space="preserve">Diercks, Katz &amp; Wright (2026) — Federal Reserve Board FEDS Notes, February 2026 — establish Kalshi's rate-decision markets as credible predictive venues, finding that implied probability distributions perform at or above the FRBNY Survey of Market Expectations and Bloomberg consensus across 2023–2025 meetings. Their Figure 1 shows that the Kalshi mean absolute error declines toward zero by approximately T-10 and is essentially flat through T-0. Kim et al. (2026) apply the Market-Conditioned Prompting (MixMCP) framework to Kalshi earnings-call mention markets, finding that LLM signals add minimal value on top of market prices when blended via the equation</w:t>
      </w:r>
    </w:p>
    <w:p>
      <w:pPr>
        <w:spacing w:after="160" w:before="120" w:line="276"/>
        <w:jc w:val="center"/>
      </w:pPr>
      <w:r>
        <w:rPr>
          <w:rFonts w:ascii="Cambria Math" w:cs="Cambria Math" w:eastAsia="Cambria Math" w:hAnsi="Cambria Math"/>
          <w:i w:val="false"/>
          <w:iCs w:val="false"/>
          <w:sz w:val="22"/>
          <w:szCs w:val="22"/>
        </w:rPr>
        <w:t xml:space="preserve">mixed = α · signal + (1 − α) · Kalshi_price,</w:t>
      </w:r>
    </w:p>
    <w:p>
      <w:pPr>
        <w:spacing w:after="120" w:line="276"/>
        <w:jc w:val="both"/>
      </w:pPr>
      <w:r>
        <w:rPr>
          <w:rFonts w:ascii="Calibri" w:cs="Calibri" w:eastAsia="Calibri" w:hAnsi="Calibri"/>
          <w:sz w:val="22"/>
          <w:szCs w:val="22"/>
        </w:rPr>
        <w:t xml:space="preserve">with optimal α* substantially below the pre-registered 0.70. We replicate this methodology on dictionary-based signals (Phase 1) and on a domain-adapted transformer (Phase 2), extending the generality of their efficiency finding to two new signal classes.</w:t>
      </w:r>
    </w:p>
    <w:p>
      <w:pPr>
        <w:pStyle w:val="Heading2"/>
        <w:spacing w:after="120" w:before="240"/>
      </w:pPr>
      <w:r>
        <w:rPr>
          <w:rFonts w:ascii="Calibri" w:cs="Calibri" w:eastAsia="Calibri" w:hAnsi="Calibri"/>
          <w:b/>
          <w:bCs/>
          <w:sz w:val="24"/>
          <w:szCs w:val="24"/>
        </w:rPr>
        <w:t xml:space="preserve">2.5 FOMC Text Classification</w:t>
      </w:r>
    </w:p>
    <w:p>
      <w:pPr>
        <w:spacing w:after="120" w:line="276"/>
        <w:jc w:val="both"/>
      </w:pPr>
      <w:r>
        <w:rPr>
          <w:rFonts w:ascii="Calibri" w:cs="Calibri" w:eastAsia="Calibri" w:hAnsi="Calibri"/>
          <w:sz w:val="22"/>
          <w:szCs w:val="22"/>
        </w:rPr>
        <w:t xml:space="preserve">Shah, Paturi &amp; Chava (2023) construct what remains the largest publicly available labeled FOMC dataset — 5,768 training sentences and 477 test sentences drawn from FOMC meeting minutes, press conference transcripts, and Fed Chair speeches, annotated by three economics-trained human coders as Hawkish, Dovish, or Neutral. The paper introduces the hawkish/dovish classification task as a formal NLP benchmark and fine-tunes RoBERTa-large (FOMC-RoBERTa, gtfintechlab/FOMC-RoBERTa) to a weighted F1 of approximately 0.69 on the test set. Gössi, Chen, Kim, Bermeitinger &amp; Handschuh (2023) present FinBERT-FOMC (ZiweiChen/FinBERT-FOMC) at ACM ICAIF 2023, fine-tuning ProsusAI/finbert on FOMC minutes 2006–2023 via a “Sentiment Focus” relabeling method that handles the embedded hedging characteristic of committee minutes. Chen (2024) provides a smaller DistilBERT variant trained on the Shah corpus. Gambacorta et al. (2024) and Geiger et al. (2025) demonstrate LLM-based labeling of central bank text at the BIS and Bundesbank respectively, motivating the three-layer validation architecture used in Phase 1.</w:t>
      </w:r>
    </w:p>
    <w:p>
      <w:pPr>
        <w:pStyle w:val="Heading2"/>
        <w:spacing w:after="120" w:before="240"/>
      </w:pPr>
      <w:r>
        <w:rPr>
          <w:rFonts w:ascii="Calibri" w:cs="Calibri" w:eastAsia="Calibri" w:hAnsi="Calibri"/>
          <w:b/>
          <w:bCs/>
          <w:sz w:val="24"/>
          <w:szCs w:val="24"/>
        </w:rPr>
        <w:t xml:space="preserve">2.6 Portfolio Performance Benchmarks</w:t>
      </w:r>
    </w:p>
    <w:p>
      <w:pPr>
        <w:spacing w:after="120" w:line="276"/>
        <w:jc w:val="both"/>
      </w:pPr>
      <w:r>
        <w:rPr>
          <w:rFonts w:ascii="Calibri" w:cs="Calibri" w:eastAsia="Calibri" w:hAnsi="Calibri"/>
          <w:sz w:val="22"/>
          <w:szCs w:val="22"/>
        </w:rPr>
        <w:t xml:space="preserve">Grinold &amp; Kahn (1999) provide the standard reference for IC and IR thresholds in institutional quantitative research: IC ≈ 0.05 is consistent with a viable signal, IC ≈ 0.10 is strong; IR &gt; 0.5 is the conventional threshold for further investigation, IR &gt; 1.0 is institutional-grade. We benchmark Phase 3v1 portfolio statistics against these reference values.</w:t>
      </w:r>
    </w:p>
    <w:p>
      <w:pPr>
        <w:pStyle w:val="Heading1"/>
        <w:pageBreakBefore/>
        <w:spacing w:after="160" w:before="0"/>
      </w:pPr>
      <w:r>
        <w:rPr>
          <w:rFonts w:ascii="Calibri" w:cs="Calibri" w:eastAsia="Calibri" w:hAnsi="Calibri"/>
          <w:b/>
          <w:bCs/>
          <w:sz w:val="28"/>
          <w:szCs w:val="28"/>
        </w:rPr>
        <w:t xml:space="preserve">3. Data</w:t>
      </w:r>
    </w:p>
    <w:p>
      <w:pPr>
        <w:spacing w:after="120" w:line="276"/>
        <w:jc w:val="both"/>
      </w:pPr>
      <w:r>
        <w:rPr>
          <w:rFonts w:ascii="Calibri" w:cs="Calibri" w:eastAsia="Calibri" w:hAnsi="Calibri"/>
          <w:sz w:val="22"/>
          <w:szCs w:val="22"/>
        </w:rPr>
        <w:t xml:space="preserve">This section documents the unified data assembly across all four phases. Each subsection covers a distinct data class. The full corpus comprises Federal Reserve communications, Kalshi prediction market prices, the Shah et al. (2023) labeled FOMC sentence corpus, paragraph-level Powell labels contributed by this study, and rate-sensitive equity ETF prices.</w:t>
      </w:r>
    </w:p>
    <w:p>
      <w:pPr>
        <w:pStyle w:val="Heading2"/>
        <w:spacing w:after="120" w:before="240"/>
      </w:pPr>
      <w:r>
        <w:rPr>
          <w:rFonts w:ascii="Calibri" w:cs="Calibri" w:eastAsia="Calibri" w:hAnsi="Calibri"/>
          <w:b/>
          <w:bCs/>
          <w:sz w:val="24"/>
          <w:szCs w:val="24"/>
        </w:rPr>
        <w:t xml:space="preserve">3.1 Federal Reserve Corpus</w:t>
      </w:r>
    </w:p>
    <w:p>
      <w:pPr>
        <w:spacing w:after="120" w:line="276"/>
        <w:jc w:val="both"/>
      </w:pPr>
      <w:r>
        <w:rPr>
          <w:rFonts w:ascii="Calibri" w:cs="Calibri" w:eastAsia="Calibri" w:hAnsi="Calibri"/>
          <w:sz w:val="22"/>
          <w:szCs w:val="22"/>
        </w:rPr>
        <w:t xml:space="preserve">We construct a corpus of 254 Federal Reserve documents spanning February 2018 to April 2026, covering the entirety of Jerome Powell's tenure as Federal Reserve Chair. Documents are categorized into five types: speeches (77), press conference transcripts (64), FOMC statements (44), FOMC minutes (42), and Congressional testimony (26). Speeches and testimony are scraped as HTML from the Federal Reserve Board website; press conferences are downloaded as PDFs. Statements and minutes are obtained from the same source. After processing, the corpus yields 261 scored segments. Eight press conference transcripts are successfully split into prepared-statement and Q&amp;A segments using speaker-tag pattern matching; for the remaining 56, the full transcript is scored as the prepared statement. The average document length is 4,082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500"/>
        <w:gridCol w:w="1500"/>
        <w:gridCol w:w="3160"/>
      </w:tblGrid>
      <w:tr>
        <w:trPr>
          <w:tblHeader/>
        </w:trPr>
        <w:tc>
          <w:tcPr>
            <w:tcW w:type="dxa" w:w="17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Doc Type</w:t>
            </w:r>
          </w:p>
        </w:tc>
        <w:tc>
          <w:tcPr>
            <w:tcW w:type="dxa" w:w="15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N Documents</w:t>
            </w:r>
          </w:p>
        </w:tc>
        <w:tc>
          <w:tcPr>
            <w:tcW w:type="dxa" w:w="15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N Segments</w:t>
            </w:r>
          </w:p>
        </w:tc>
        <w:tc>
          <w:tcPr>
            <w:tcW w:type="dxa" w:w="15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Avg Words</w:t>
            </w:r>
          </w:p>
        </w:tc>
        <w:tc>
          <w:tcPr>
            <w:tcW w:type="dxa" w:w="316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Date Range</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Speeches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77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77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~3,800</w:t>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2018–2026</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Press conf (prep)</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64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64 + 8 QA</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~9,000</w:t>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2018–2026</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Statements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44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44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~700</w:t>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2018–2026</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Minutes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42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42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~7,500</w:t>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2018–2026</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Testimony</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26</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26</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~5,500</w:t>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2018–2026</w:t>
            </w:r>
          </w:p>
        </w:tc>
      </w:tr>
      <w:tr>
        <w:trPr>
          <w:tblHeader w:val="false"/>
        </w:trPr>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TOTAL</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254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261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4,082</w:t>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w:t>
            </w:r>
          </w:p>
        </w:tc>
      </w:tr>
    </w:tbl>
    <w:p>
      <w:pPr>
        <w:spacing w:after="160" w:before="60"/>
        <w:jc w:val="left"/>
      </w:pPr>
      <w:r>
        <w:rPr>
          <w:rFonts w:ascii="Calibri" w:cs="Calibri" w:eastAsia="Calibri" w:hAnsi="Calibri"/>
          <w:i/>
          <w:iCs/>
          <w:sz w:val="20"/>
          <w:szCs w:val="20"/>
        </w:rPr>
        <w:t xml:space="preserve">Table 3.1. Federal Reserve communication corpus, 2018–2026.</w:t>
      </w:r>
    </w:p>
    <w:p>
      <w:pPr>
        <w:pStyle w:val="Heading2"/>
        <w:spacing w:after="120" w:before="240"/>
      </w:pPr>
      <w:r>
        <w:rPr>
          <w:rFonts w:ascii="Calibri" w:cs="Calibri" w:eastAsia="Calibri" w:hAnsi="Calibri"/>
          <w:b/>
          <w:bCs/>
          <w:sz w:val="24"/>
          <w:szCs w:val="24"/>
        </w:rPr>
        <w:t xml:space="preserve">3.2 Loughran–McDonald Dictionary</w:t>
      </w:r>
    </w:p>
    <w:p>
      <w:pPr>
        <w:spacing w:after="120" w:line="276"/>
        <w:jc w:val="both"/>
      </w:pPr>
      <w:r>
        <w:rPr>
          <w:rFonts w:ascii="Calibri" w:cs="Calibri" w:eastAsia="Calibri" w:hAnsi="Calibri"/>
          <w:sz w:val="22"/>
          <w:szCs w:val="22"/>
        </w:rPr>
        <w:t xml:space="preserve">Sentiment is measured using the Loughran–McDonald 2020 Master Dictionary, which contains 86,553 words tagged with binary flags across seven categories: Negative (2,345 words), Positive (347), Uncertainty (297), Litigious (903), Strong Modal (19), Weak Modal (27), and Constraining (184). The primary composite is defined as</w:t>
      </w:r>
    </w:p>
    <w:p>
      <w:pPr>
        <w:spacing w:after="160" w:before="120" w:line="276"/>
        <w:jc w:val="center"/>
      </w:pPr>
      <w:r>
        <w:rPr>
          <w:rFonts w:ascii="Cambria Math" w:cs="Cambria Math" w:eastAsia="Cambria Math" w:hAnsi="Cambria Math"/>
          <w:i w:val="false"/>
          <w:iCs w:val="false"/>
          <w:sz w:val="22"/>
          <w:szCs w:val="22"/>
        </w:rPr>
        <w:t xml:space="preserve">LM_composite = (Negative + Uncertainty − Positive) / total_words.</w:t>
      </w:r>
    </w:p>
    <w:p>
      <w:pPr>
        <w:spacing w:after="120" w:line="276"/>
        <w:jc w:val="both"/>
      </w:pPr>
      <w:r>
        <w:rPr>
          <w:rFonts w:ascii="Calibri" w:cs="Calibri" w:eastAsia="Calibri" w:hAnsi="Calibri"/>
          <w:sz w:val="22"/>
          <w:szCs w:val="22"/>
        </w:rPr>
        <w:t xml:space="preserve">Higher composite values indicate more negative and uncertain language, corresponding to a more dovish policy signal under the standard interpretation. A standard 3-token negation window is applied: if one of {no, not, none, neither, never, nobody} precedes a Positive word within 3 tokens, that word is counted as Negative rather than Positive.</w:t>
      </w:r>
    </w:p>
    <w:p>
      <w:pPr>
        <w:pStyle w:val="Heading2"/>
        <w:spacing w:after="120" w:before="240"/>
      </w:pPr>
      <w:r>
        <w:rPr>
          <w:rFonts w:ascii="Calibri" w:cs="Calibri" w:eastAsia="Calibri" w:hAnsi="Calibri"/>
          <w:b/>
          <w:bCs/>
          <w:sz w:val="24"/>
          <w:szCs w:val="24"/>
        </w:rPr>
        <w:t xml:space="preserve">3.3 FOMC Signal Aggregation</w:t>
      </w:r>
    </w:p>
    <w:p>
      <w:pPr>
        <w:spacing w:after="120" w:line="276"/>
        <w:jc w:val="both"/>
      </w:pPr>
      <w:r>
        <w:rPr>
          <w:rFonts w:ascii="Calibri" w:cs="Calibri" w:eastAsia="Calibri" w:hAnsi="Calibri"/>
          <w:sz w:val="22"/>
          <w:szCs w:val="22"/>
        </w:rPr>
        <w:t xml:space="preserve">For each of 68 FOMC meetings from January 2018 to April 2026, we identify all documents published in the T-42 to T-1 calendar day window — the full inter-meeting period. The primary signal is the equal-weighted mean LM composite across all documents in the window. The primary corpus includes Powell speeches, Powell testimony, all FOMC statements, minutes, and press conference prepared statements; Q&amp;A segments are excluded because Powell deliberately hedges in Q&amp;A responses to avoid policy commitment. Of 68 meetings, 62 have non-null signals; 6 have empty windows. The meeting-level signal has mean 0.0146 and standard deviation 0.0097, ranging from −0.0096 (most hawkish, July 2024) to 0.0328 (most dovish, September 2018). Two robustness specifications are constructed: a T-11 window signal (documents in T-11 to T-1 only) and a speaker-weighted signal (Powell documents weighted 2×).</w:t>
      </w:r>
    </w:p>
    <w:p>
      <w:pPr>
        <w:pStyle w:val="Heading2"/>
        <w:spacing w:after="120" w:before="240"/>
      </w:pPr>
      <w:r>
        <w:rPr>
          <w:rFonts w:ascii="Calibri" w:cs="Calibri" w:eastAsia="Calibri" w:hAnsi="Calibri"/>
          <w:b/>
          <w:bCs/>
          <w:sz w:val="24"/>
          <w:szCs w:val="24"/>
        </w:rPr>
        <w:t xml:space="preserve">3.4 Kalshi Prediction Markets</w:t>
      </w:r>
    </w:p>
    <w:p>
      <w:pPr>
        <w:spacing w:after="120" w:line="276"/>
        <w:jc w:val="both"/>
      </w:pPr>
      <w:r>
        <w:rPr>
          <w:rFonts w:ascii="Calibri" w:cs="Calibri" w:eastAsia="Calibri" w:hAnsi="Calibri"/>
          <w:sz w:val="22"/>
          <w:szCs w:val="22"/>
        </w:rPr>
        <w:t xml:space="preserve">Rate-decision market data (6,030 observations across 108 tickers) and mention market data (9,241 observations across 301 tickers) are extracted from the PREDMARKET Snowflake database via the Allium blockchain data platform. Both datasets share a 14-column schema including market ticker, date, closing price, bid–ask quotes, daily and lifetime volume, and binary resolution outcome. Kalshi prices are stored in cents (0–100) and are normalized to [0, 1] probability scale before computing Brier scores.</w:t>
      </w:r>
    </w:p>
    <w:p>
      <w:pPr>
        <w:spacing w:after="120" w:line="276"/>
        <w:jc w:val="both"/>
      </w:pPr>
      <w:r>
        <w:rPr>
          <w:rFonts w:ascii="Calibri" w:cs="Calibri" w:eastAsia="Calibri" w:hAnsi="Calibri"/>
          <w:sz w:val="22"/>
          <w:szCs w:val="22"/>
        </w:rPr>
        <w:t xml:space="preserve">Rate-decision market coverage begins in November 2023, yielding 22 FOMC meetings with signal overlap for the Phase 3v1 expectation analysis and 23 meetings with complete T-7 and T-1 snapshots for the Phase 3v2 surprise analysis. Mention market data overlaps with the LM signal window for 7 FOMC meetings, which is the binding constraint on the mention market analysis (234 markets across 7 meetings for the LM α-sweep, 171 markets across 5 meetings for the FinBERT α-sweep).</w:t>
      </w:r>
    </w:p>
    <w:p>
      <w:pPr>
        <w:spacing w:after="120" w:line="276"/>
        <w:jc w:val="both"/>
      </w:pPr>
      <w:r>
        <w:rPr>
          <w:rFonts w:ascii="Calibri" w:cs="Calibri" w:eastAsia="Calibri" w:hAnsi="Calibri"/>
          <w:b/>
          <w:bCs/>
          <w:sz w:val="22"/>
          <w:szCs w:val="22"/>
        </w:rPr>
        <w:t xml:space="preserve">Kalshi-implied expected basis points. </w:t>
      </w:r>
      <w:r>
        <w:rPr>
          <w:rFonts w:ascii="Calibri" w:cs="Calibri" w:eastAsia="Calibri" w:hAnsi="Calibri"/>
          <w:sz w:val="22"/>
          <w:szCs w:val="22"/>
        </w:rPr>
        <w:t xml:space="preserve">For each meeting m, the implied expected rate change is computed as the probability-weighted sum of resolution bins at the relevant snapshot:</w:t>
      </w:r>
    </w:p>
    <w:p>
      <w:pPr>
        <w:spacing w:after="160" w:before="120" w:line="276"/>
        <w:jc w:val="center"/>
      </w:pPr>
      <w:r>
        <w:rPr>
          <w:rFonts w:ascii="Cambria Math" w:cs="Cambria Math" w:eastAsia="Cambria Math" w:hAnsi="Cambria Math"/>
          <w:i w:val="false"/>
          <w:iCs w:val="false"/>
          <w:sz w:val="22"/>
          <w:szCs w:val="22"/>
        </w:rPr>
        <w:t xml:space="preserve">kalshi_expected_bps_m = Σᵢ (price_i,m × implied_bps_i,m)</w:t>
      </w:r>
    </w:p>
    <w:p>
      <w:pPr>
        <w:spacing w:after="120" w:line="276"/>
        <w:jc w:val="both"/>
      </w:pPr>
      <w:r>
        <w:rPr>
          <w:rFonts w:ascii="Calibri" w:cs="Calibri" w:eastAsia="Calibri" w:hAnsi="Calibri"/>
          <w:sz w:val="22"/>
          <w:szCs w:val="22"/>
        </w:rPr>
        <w:t xml:space="preserve">where price_i,m is the market price (probability scale) of resolution bin i at the snapshot date, and implied_bps_i,m is the basis-point change encoded in the MARKET_TITLE field, parsed via regular-expression pattern matching.</w:t>
      </w:r>
    </w:p>
    <w:p>
      <w:pPr>
        <w:pStyle w:val="Heading2"/>
        <w:spacing w:after="120" w:before="240"/>
      </w:pPr>
      <w:r>
        <w:rPr>
          <w:rFonts w:ascii="Calibri" w:cs="Calibri" w:eastAsia="Calibri" w:hAnsi="Calibri"/>
          <w:b/>
          <w:bCs/>
          <w:sz w:val="24"/>
          <w:szCs w:val="24"/>
        </w:rPr>
        <w:t xml:space="preserve">3.5 Equity and Fixed-Income Returns</w:t>
      </w:r>
    </w:p>
    <w:p>
      <w:pPr>
        <w:spacing w:after="120" w:line="276"/>
        <w:jc w:val="both"/>
      </w:pPr>
      <w:r>
        <w:rPr>
          <w:rFonts w:ascii="Calibri" w:cs="Calibri" w:eastAsia="Calibri" w:hAnsi="Calibri"/>
          <w:sz w:val="22"/>
          <w:szCs w:val="22"/>
        </w:rPr>
        <w:t xml:space="preserve">Daily closing prices for the Phase 1 and Phase 3v1 universe — XLF (financials), IEF (7–10y Treasuries), TLT (20+y Treasuries), and SPY (S&amp;P 500 broad equity) — are obtained from Yahoo Finance spanning January 2018 to April 2026 (2,094 trading days). Phase 3v2 expands the universe to span the rate-sensitivity spectrum more deliberately: IEI (3–7y Treasuries, the “belly” of the curve), KRE (regional banks, a pure NIM play replacing broad XLF), XLRE (real estate, high-duration equity), TLT (long Treasuries), SHY (1–3y Treasuries), and ^TNX (10y yield, used as a non-investable diagnostic). Prices are converted to daily percentage returns via first differences. Post-FOMC returns are computed by summing daily returns over 1, 5, and 20 trading days strictly following each meeting date for Phase 1 and Phase 3v1; Phase 3v2 uses same-day open-to-close on the announcement day, defined as (Close_t − Open_t)/Open_t.</w:t>
      </w:r>
    </w:p>
    <w:p>
      <w:pPr>
        <w:pStyle w:val="Heading2"/>
        <w:spacing w:after="120" w:before="240"/>
      </w:pPr>
      <w:r>
        <w:rPr>
          <w:rFonts w:ascii="Calibri" w:cs="Calibri" w:eastAsia="Calibri" w:hAnsi="Calibri"/>
          <w:b/>
          <w:bCs/>
          <w:sz w:val="24"/>
          <w:szCs w:val="24"/>
        </w:rPr>
        <w:t xml:space="preserve">3.6 Validation Datasets</w:t>
      </w:r>
    </w:p>
    <w:p>
      <w:pPr>
        <w:spacing w:after="120" w:line="276"/>
        <w:jc w:val="both"/>
      </w:pPr>
      <w:r>
        <w:rPr>
          <w:rFonts w:ascii="Calibri" w:cs="Calibri" w:eastAsia="Calibri" w:hAnsi="Calibri"/>
          <w:sz w:val="22"/>
          <w:szCs w:val="22"/>
        </w:rPr>
        <w:t xml:space="preserve">Three independent labeled datasets, each measuring a distinct dimension of the same underlying NLP task, support the pre-registered three-layer validation framework in Phase 1 and the transformer-evaluation benchmark in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700"/>
        <w:gridCol w:w="1300"/>
        <w:gridCol w:w="3060"/>
      </w:tblGrid>
      <w:tr>
        <w:trPr>
          <w:tblHeader/>
        </w:trPr>
        <w:tc>
          <w:tcPr>
            <w:tcW w:type="dxa" w:w="24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Dataset</w:t>
            </w:r>
          </w:p>
        </w:tc>
        <w:tc>
          <w:tcPr>
            <w:tcW w:type="dxa" w:w="19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Source</w:t>
            </w:r>
          </w:p>
        </w:tc>
        <w:tc>
          <w:tcPr>
            <w:tcW w:type="dxa" w:w="7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N</w:t>
            </w:r>
          </w:p>
        </w:tc>
        <w:tc>
          <w:tcPr>
            <w:tcW w:type="dxa" w:w="13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Labels</w:t>
            </w:r>
          </w:p>
        </w:tc>
        <w:tc>
          <w:tcPr>
            <w:tcW w:type="dxa" w:w="306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Construct</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powell_handcoded.csv</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Personal (this study)</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17</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−1/0/+1</w:t>
            </w:r>
          </w:p>
        </w:tc>
        <w:tc>
          <w:tcPr>
            <w:tcW w:type="dxa" w:w="3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Hawk/Neutral/Dove (paragraphs)</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llm_labeled_final.csv</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Claude (this study)</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500</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−1/0/+1</w:t>
            </w:r>
          </w:p>
        </w:tc>
        <w:tc>
          <w:tcPr>
            <w:tcW w:type="dxa" w:w="3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Hawk/Neutral/Dove (paragraphs)</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shah_combine_test.xlsx</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Shah et al. (2023)</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476</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Remapped</w:t>
            </w:r>
          </w:p>
        </w:tc>
        <w:tc>
          <w:tcPr>
            <w:tcW w:type="dxa" w:w="3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Hawk/Neutral/Dove (sentences)</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raw_class_labels.csv</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FT370 course data</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1,364</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−1/0/+1</w:t>
            </w:r>
          </w:p>
        </w:tc>
        <w:tc>
          <w:tcPr>
            <w:tcW w:type="dxa" w:w="3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Uncertain/Neutral/Confident (sentences)</w:t>
            </w:r>
          </w:p>
        </w:tc>
      </w:tr>
    </w:tbl>
    <w:p>
      <w:pPr>
        <w:spacing w:after="160" w:before="60"/>
        <w:jc w:val="left"/>
      </w:pPr>
      <w:r>
        <w:rPr>
          <w:rFonts w:ascii="Calibri" w:cs="Calibri" w:eastAsia="Calibri" w:hAnsi="Calibri"/>
          <w:i/>
          <w:iCs/>
          <w:sz w:val="20"/>
          <w:szCs w:val="20"/>
        </w:rPr>
        <w:t xml:space="preserve">Table 3.2. Validation datasets for paragraph- and sentence-level classification tasks. Shah et al. labels are remapped from {0=Dovish, 1=Hawkish, 2=Neutral} to −1/0/+1 before computing Spearman r.</w:t>
      </w:r>
    </w:p>
    <w:p>
      <w:pPr>
        <w:spacing w:after="120" w:line="276"/>
        <w:jc w:val="both"/>
      </w:pPr>
      <w:r>
        <w:rPr>
          <w:rFonts w:ascii="Calibri" w:cs="Calibri" w:eastAsia="Calibri" w:hAnsi="Calibri"/>
          <w:sz w:val="22"/>
          <w:szCs w:val="22"/>
        </w:rPr>
        <w:t xml:space="preserve">The class labels (raw_class_labels.csv) measure confidence/uncertainty rather than hawkish/dovish direction. They are analyzed separately as validation of the LM Uncertainty dimension, providing the orthogonal construct test that drives the structural decomposition in Section 5.1.</w:t>
      </w:r>
    </w:p>
    <w:p>
      <w:pPr>
        <w:pStyle w:val="Heading2"/>
        <w:spacing w:after="120" w:before="240"/>
      </w:pPr>
      <w:r>
        <w:rPr>
          <w:rFonts w:ascii="Calibri" w:cs="Calibri" w:eastAsia="Calibri" w:hAnsi="Calibri"/>
          <w:b/>
          <w:bCs/>
          <w:sz w:val="24"/>
          <w:szCs w:val="24"/>
        </w:rPr>
        <w:t xml:space="preserve">3.7 Powell Paragraph Labels (This Study)</w:t>
      </w:r>
    </w:p>
    <w:p>
      <w:pPr>
        <w:spacing w:after="120" w:line="276"/>
        <w:jc w:val="both"/>
      </w:pPr>
      <w:r>
        <w:rPr>
          <w:rFonts w:ascii="Calibri" w:cs="Calibri" w:eastAsia="Calibri" w:hAnsi="Calibri"/>
          <w:sz w:val="22"/>
          <w:szCs w:val="22"/>
        </w:rPr>
        <w:t xml:space="preserve">We contribute 500 paragraph-level labels from Powell-era Fed communications (2018–2026), generated by Claude Sonnet using a detailed prompt designed to capture the [Setup → Hedge → Conclusion] rhetorical structure identified during a hand-coding session. Unlike the Shah et al. sentences (mean ~33 words, keyword-selected for explicit policy content), our paragraphs are longer (mean ~95 words), drawn from the full text of Powell speeches and press conference prepared statements, and labeled at the conclusion-clause level — the final 1–2 sentences that determine the paragraph's directional stance regardless of the framing that precedes them. The personal hand-coded labels (N = 17) serve as an audit set for the LLM labeling pipeline. Both the LLM-labeled and hand-coded samples span 2018–2026, with more recent documents overrepresented because hand-coding prioritized the period overlapping Kalshi data availability.</w:t>
      </w:r>
    </w:p>
    <w:p>
      <w:pPr>
        <w:pStyle w:val="Heading1"/>
        <w:pageBreakBefore/>
        <w:spacing w:after="160" w:before="0"/>
      </w:pPr>
      <w:r>
        <w:rPr>
          <w:rFonts w:ascii="Calibri" w:cs="Calibri" w:eastAsia="Calibri" w:hAnsi="Calibri"/>
          <w:b/>
          <w:bCs/>
          <w:sz w:val="28"/>
          <w:szCs w:val="28"/>
        </w:rPr>
        <w:t xml:space="preserve">4. Methodology</w:t>
      </w:r>
    </w:p>
    <w:p>
      <w:pPr>
        <w:spacing w:after="120" w:line="276"/>
        <w:jc w:val="both"/>
      </w:pPr>
      <w:r>
        <w:rPr>
          <w:rFonts w:ascii="Calibri" w:cs="Calibri" w:eastAsia="Calibri" w:hAnsi="Calibri"/>
          <w:sz w:val="22"/>
          <w:szCs w:val="22"/>
        </w:rPr>
        <w:t xml:space="preserve">The methodology proceeds in four phases, each motivated by the result of the previous one. Phase 1 applies the LM dictionary to FOMC text and tests three financial outcomes (mention markets, equity returns, and rate-decision distributions). Phase 1's null result motivates Phase 2, which substitutes a domain-adapted transformer for the dictionary at the same MixMCP and equity-return tests. Phase 2's null result motivates Phase 3, which inverts the question — taking Kalshi as the best available signal and asking whether it predicts ETF returns directly. Phase 3v1 uses the Kalshi expectation as the signal and produces marginal results consistent with the anticipated component already being priced in. Phase 3v2 redesigns the test along Bernanke–Kuttner lines, using the surprise residual rather than the expectation. The four phases together constitute a single progressively-stronger efficiency test.</w:t>
      </w:r>
    </w:p>
    <w:p>
      <w:pPr>
        <w:pStyle w:val="Heading2"/>
        <w:spacing w:after="120" w:before="240"/>
      </w:pPr>
      <w:r>
        <w:rPr>
          <w:rFonts w:ascii="Calibri" w:cs="Calibri" w:eastAsia="Calibri" w:hAnsi="Calibri"/>
          <w:b/>
          <w:bCs/>
          <w:sz w:val="24"/>
          <w:szCs w:val="24"/>
        </w:rPr>
        <w:t xml:space="preserve">4.1 Phase 1 — LM Dictionary Tests</w:t>
      </w:r>
    </w:p>
    <w:p>
      <w:pPr>
        <w:pStyle w:val="Heading3"/>
        <w:spacing w:after="80" w:before="180"/>
      </w:pPr>
      <w:r>
        <w:rPr>
          <w:rFonts w:ascii="Calibri" w:cs="Calibri" w:eastAsia="Calibri" w:hAnsi="Calibri"/>
          <w:b/>
          <w:bCs/>
          <w:i/>
          <w:iCs/>
          <w:sz w:val="22"/>
          <w:szCs w:val="22"/>
        </w:rPr>
        <w:t xml:space="preserve">4.1.1 Three-Layer Validation Framework</w:t>
      </w:r>
    </w:p>
    <w:p>
      <w:pPr>
        <w:spacing w:after="120" w:line="276"/>
        <w:jc w:val="both"/>
      </w:pPr>
      <w:r>
        <w:rPr>
          <w:rFonts w:ascii="Calibri" w:cs="Calibri" w:eastAsia="Calibri" w:hAnsi="Calibri"/>
          <w:sz w:val="22"/>
          <w:szCs w:val="22"/>
        </w:rPr>
        <w:t xml:space="preserve">Following the methodology of Gambacorta et al. (2024) and Geiger et al. (2025), we pre-specify a three-layer validation framework. The decision rule: if Spearman r &gt; 0.5 on Layer 1 (personal hand-coded labels), the signal is validated and financial tests proceed as confirmatory. Otherwise, all financial tests are conducted as exploratory analysis with explicit disclosure of the gate failure. Layer 1 uses 17 Powell speech paragraphs personally coded as −1 (Hawkish), 0 (Neutral), or 1 (Dovish). We note that N = 17 is insufficient for reliable rank correlation estimation; Layer 1 serves as a qualitative sanity check, and the definitive validation results are Layers 2 and 3. Layer 2 extends validation using 500 paragraphs labeled by Claude Sonnet following Gambacorta et al.'s LLM-labeling methodology. Layer 3 uses the Shah et al. (2023) external benchmark as a cross-era, cross-speaker check. The LM Uncertainty dimension is additionally validated against FT370 course confidence labels as an orthogonal construct test.</w:t>
      </w:r>
    </w:p>
    <w:p>
      <w:pPr>
        <w:pStyle w:val="Heading3"/>
        <w:spacing w:after="80" w:before="180"/>
      </w:pPr>
      <w:r>
        <w:rPr>
          <w:rFonts w:ascii="Calibri" w:cs="Calibri" w:eastAsia="Calibri" w:hAnsi="Calibri"/>
          <w:b/>
          <w:bCs/>
          <w:i/>
          <w:iCs/>
          <w:sz w:val="22"/>
          <w:szCs w:val="22"/>
        </w:rPr>
        <w:t xml:space="preserve">4.1.2 Equity Return Tests</w:t>
      </w:r>
    </w:p>
    <w:p>
      <w:pPr>
        <w:spacing w:after="120" w:line="276"/>
        <w:jc w:val="both"/>
      </w:pPr>
      <w:r>
        <w:rPr>
          <w:rFonts w:ascii="Calibri" w:cs="Calibri" w:eastAsia="Calibri" w:hAnsi="Calibri"/>
          <w:sz w:val="22"/>
          <w:szCs w:val="22"/>
        </w:rPr>
        <w:t xml:space="preserve">We test four rate-sensitive ETFs spanning the interest-rate exposure spectrum: XLF (financials, where bank net interest margins are positively correlated with rates), IEF (7–10y Treasuries, moderate duration), TLT (20+y Treasuries, high duration), and SPY (broad S&amp;P 500, mixed sensitivity). For each of 12 ETF–horizon combinations (4 × 3 horizons), we estimate</w:t>
      </w:r>
    </w:p>
    <w:p>
      <w:pPr>
        <w:spacing w:after="160" w:before="120" w:line="276"/>
        <w:jc w:val="center"/>
      </w:pPr>
      <w:r>
        <w:rPr>
          <w:rFonts w:ascii="Cambria Math" w:cs="Cambria Math" w:eastAsia="Cambria Math" w:hAnsi="Cambria Math"/>
          <w:i w:val="false"/>
          <w:iCs w:val="false"/>
          <w:sz w:val="22"/>
          <w:szCs w:val="22"/>
        </w:rPr>
        <w:t xml:space="preserve">ret_h = β₀ + β₁·lm_signal + β₂·prior_5d_return + β₃·VIX_{T-1} + β₄·decision_bps + ε</w:t>
      </w:r>
    </w:p>
    <w:p>
      <w:pPr>
        <w:spacing w:after="120" w:line="276"/>
        <w:jc w:val="both"/>
      </w:pPr>
      <w:r>
        <w:rPr>
          <w:rFonts w:ascii="Calibri" w:cs="Calibri" w:eastAsia="Calibri" w:hAnsi="Calibri"/>
          <w:sz w:val="22"/>
          <w:szCs w:val="22"/>
        </w:rPr>
        <w:t xml:space="preserve">where ret_h is the sum of daily ETF returns over the h trading days following each FOMC meeting, lm_signal is the primary T-42 signal, prior_5d_return is the SPY cumulative return over T-5 to T-1 (momentum control), VIX_{T-1} is the CBOE Volatility Index on the last trading day before the meeting (uncertainty control), and decision_bps is the actual rate change in basis points. We acknowledge that decision_bps is the realized outcome rather than a true surprise measure, capturing the contemporaneous rate action rather than its surprise component. A proper surprise control would require fed funds futures or OIS data; this limitation motivates Phase 3v2. Multiple testing is corrected via Bonferroni at α = 0.05 / 12 = 0.0042.</w:t>
      </w:r>
    </w:p>
    <w:p>
      <w:pPr>
        <w:pStyle w:val="Heading3"/>
        <w:spacing w:after="80" w:before="180"/>
      </w:pPr>
      <w:r>
        <w:rPr>
          <w:rFonts w:ascii="Calibri" w:cs="Calibri" w:eastAsia="Calibri" w:hAnsi="Calibri"/>
          <w:b/>
          <w:bCs/>
          <w:i/>
          <w:iCs/>
          <w:sz w:val="22"/>
          <w:szCs w:val="22"/>
        </w:rPr>
        <w:t xml:space="preserve">4.1.3 Mention Market Test (MixMCP)</w:t>
      </w:r>
    </w:p>
    <w:p>
      <w:pPr>
        <w:spacing w:after="120" w:line="276"/>
        <w:jc w:val="both"/>
      </w:pPr>
      <w:r>
        <w:rPr>
          <w:rFonts w:ascii="Calibri" w:cs="Calibri" w:eastAsia="Calibri" w:hAnsi="Calibri"/>
          <w:sz w:val="22"/>
          <w:szCs w:val="22"/>
        </w:rPr>
        <w:t xml:space="preserve">Following Kim et al. (2026), we test whether blending the LM signal with Kalshi mention market prices improves calibration. For each market, the T-7 price (closest available in the T-10 to T-5 window) serves as the baseline prediction. The mixed prediction is</w:t>
      </w:r>
    </w:p>
    <w:p>
      <w:pPr>
        <w:spacing w:after="160" w:before="120" w:line="276"/>
        <w:jc w:val="center"/>
      </w:pPr>
      <w:r>
        <w:rPr>
          <w:rFonts w:ascii="Cambria Math" w:cs="Cambria Math" w:eastAsia="Cambria Math" w:hAnsi="Cambria Math"/>
          <w:i w:val="false"/>
          <w:iCs w:val="false"/>
          <w:sz w:val="22"/>
          <w:szCs w:val="22"/>
        </w:rPr>
        <w:t xml:space="preserve">mixed_prediction = α · LM_signal_norm + (1 − α) · Kalshi_price</w:t>
      </w:r>
    </w:p>
    <w:p>
      <w:pPr>
        <w:spacing w:after="120" w:line="276"/>
        <w:jc w:val="both"/>
      </w:pPr>
      <w:r>
        <w:rPr>
          <w:rFonts w:ascii="Calibri" w:cs="Calibri" w:eastAsia="Calibri" w:hAnsi="Calibri"/>
          <w:sz w:val="22"/>
          <w:szCs w:val="22"/>
        </w:rPr>
        <w:t xml:space="preserve">where LM_signal_norm is the meeting-level LM composite min-max normalized to [0, 1]. We sweep α from 0 to 1 in increments of 0.05 and report the Brier score at each blend. The pre-registered initial α = 0.70 is tested explicitly. Calibration is measured via Expected Calibration Error (ECE) over 10 equal-width price bins. The Brier score is BS = (1/N) Σ (price − outcome)².</w:t>
      </w:r>
    </w:p>
    <w:p>
      <w:pPr>
        <w:pStyle w:val="Heading3"/>
        <w:spacing w:after="80" w:before="180"/>
      </w:pPr>
      <w:r>
        <w:rPr>
          <w:rFonts w:ascii="Calibri" w:cs="Calibri" w:eastAsia="Calibri" w:hAnsi="Calibri"/>
          <w:b/>
          <w:bCs/>
          <w:i/>
          <w:iCs/>
          <w:sz w:val="22"/>
          <w:szCs w:val="22"/>
        </w:rPr>
        <w:t xml:space="preserve">4.1.4 Rate-Decision Distribution Test</w:t>
      </w:r>
    </w:p>
    <w:p>
      <w:pPr>
        <w:spacing w:after="120" w:line="276"/>
        <w:jc w:val="both"/>
      </w:pPr>
      <w:r>
        <w:rPr>
          <w:rFonts w:ascii="Calibri" w:cs="Calibri" w:eastAsia="Calibri" w:hAnsi="Calibri"/>
          <w:sz w:val="22"/>
          <w:szCs w:val="22"/>
        </w:rPr>
        <w:t xml:space="preserve">For each FOMC meeting with Kalshi rate-decision data, we compute the market-implied expected rate change as defined in Section 3.4 and test correlation with the LM signal using Spearman rank correlation. Given N = 22, this test is treated as descriptive.</w:t>
      </w:r>
    </w:p>
    <w:p>
      <w:pPr>
        <w:pStyle w:val="Heading2"/>
        <w:spacing w:after="120" w:before="240"/>
      </w:pPr>
      <w:r>
        <w:rPr>
          <w:rFonts w:ascii="Calibri" w:cs="Calibri" w:eastAsia="Calibri" w:hAnsi="Calibri"/>
          <w:b/>
          <w:bCs/>
          <w:sz w:val="24"/>
          <w:szCs w:val="24"/>
        </w:rPr>
        <w:t xml:space="preserve">4.2 Phase 2 — Transformer Fine-Tuning</w:t>
      </w:r>
    </w:p>
    <w:p>
      <w:pPr>
        <w:pStyle w:val="Heading3"/>
        <w:spacing w:after="80" w:before="180"/>
      </w:pPr>
      <w:r>
        <w:rPr>
          <w:rFonts w:ascii="Calibri" w:cs="Calibri" w:eastAsia="Calibri" w:hAnsi="Calibri"/>
          <w:b/>
          <w:bCs/>
          <w:i/>
          <w:iCs/>
          <w:sz w:val="22"/>
          <w:szCs w:val="22"/>
        </w:rPr>
        <w:t xml:space="preserve">4.2.1 Models Compared</w:t>
      </w:r>
    </w:p>
    <w:p>
      <w:pPr>
        <w:spacing w:after="120" w:line="276"/>
        <w:jc w:val="both"/>
      </w:pPr>
      <w:r>
        <w:rPr>
          <w:rFonts w:ascii="Calibri" w:cs="Calibri" w:eastAsia="Calibri" w:hAnsi="Calibri"/>
          <w:sz w:val="22"/>
          <w:szCs w:val="22"/>
        </w:rPr>
        <w:t xml:space="preserve">Four models are evaluated on the same held-out Shah test set: the LM composite (Phase 1 baseline, dictionary-only), DistilBERT-FOMC (achen0525/DistilBERT_FOMC_Classifier, 67M parameters, evaluated zero-shot on its training-distribution test set), our fine-tuned FinBERT-FOMC (110M parameters, base = ZiweiChen/FinBERT-FOMC, fine-tuned on Shah train + Powell paragraphs), and FOMC-RoBERTa (gtfintechlab/FOMC-RoBERTa, 355M parameters, gated). Access to FOMC-RoBERTa was requested on May 4, 2026; it is included in the methodology section for completeness but not in the results because access has not been granted at time of writing.</w:t>
      </w:r>
    </w:p>
    <w:p>
      <w:pPr>
        <w:pStyle w:val="Heading3"/>
        <w:spacing w:after="80" w:before="180"/>
      </w:pPr>
      <w:r>
        <w:rPr>
          <w:rFonts w:ascii="Calibri" w:cs="Calibri" w:eastAsia="Calibri" w:hAnsi="Calibri"/>
          <w:b/>
          <w:bCs/>
          <w:i/>
          <w:iCs/>
          <w:sz w:val="22"/>
          <w:szCs w:val="22"/>
        </w:rPr>
        <w:t xml:space="preserve">4.2.2 Fine-Tuning Protocol</w:t>
      </w:r>
    </w:p>
    <w:p>
      <w:pPr>
        <w:spacing w:after="120" w:line="276"/>
        <w:jc w:val="both"/>
      </w:pPr>
      <w:r>
        <w:rPr>
          <w:rFonts w:ascii="Calibri" w:cs="Calibri" w:eastAsia="Calibri" w:hAnsi="Calibri"/>
          <w:sz w:val="22"/>
          <w:szCs w:val="22"/>
        </w:rPr>
        <w:t xml:space="preserve">The fine-tuning protocol adapts ZiweiChen/FinBERT-FOMC for the hawkish/dovish/neutral classification task. The classification head is replaced entirely (Positive/Negative/Neutral → Hawkish/Neutral/Dovish) using the HuggingFace ignore_mismatched_sizes flag; only the encoder's learned representations transfer. Training data: ~5,300 Shah sentences (train split, all document types) + 500 Powell paragraphs. Hyperparameters: 5 epochs, learning rate 1e-5, batch size 8, max sequence length 256 tokens, warmup 50 steps, weight decay 0.01, mixed precision (fp16) when GPU available, best model selected by validation F1 (weighted). A 10% stratified holdout from the combined training set is used for epoch selection; the held-out Shah test set is evaluated once at the end and never used for hyperparameter selection.</w:t>
      </w:r>
    </w:p>
    <w:p>
      <w:pPr>
        <w:pStyle w:val="Heading3"/>
        <w:spacing w:after="80" w:before="180"/>
      </w:pPr>
      <w:r>
        <w:rPr>
          <w:rFonts w:ascii="Calibri" w:cs="Calibri" w:eastAsia="Calibri" w:hAnsi="Calibri"/>
          <w:b/>
          <w:bCs/>
          <w:i/>
          <w:iCs/>
          <w:sz w:val="22"/>
          <w:szCs w:val="22"/>
        </w:rPr>
        <w:t xml:space="preserve">4.2.3 Meeting-Level Signal Construction</w:t>
      </w:r>
    </w:p>
    <w:p>
      <w:pPr>
        <w:spacing w:after="120" w:line="276"/>
        <w:jc w:val="both"/>
      </w:pPr>
      <w:r>
        <w:rPr>
          <w:rFonts w:ascii="Calibri" w:cs="Calibri" w:eastAsia="Calibri" w:hAnsi="Calibri"/>
          <w:sz w:val="22"/>
          <w:szCs w:val="22"/>
        </w:rPr>
        <w:t xml:space="preserve">For each FOMC meeting m, we extract all labeled Powell paragraphs from documents published in the T-42 to T-1 window. The meeting-level signal is the mean dovish-minus-hawkish probability differential across paragraphs in the window:</w:t>
      </w:r>
    </w:p>
    <w:p>
      <w:pPr>
        <w:spacing w:after="160" w:before="120" w:line="276"/>
        <w:jc w:val="center"/>
      </w:pPr>
      <w:r>
        <w:rPr>
          <w:rFonts w:ascii="Cambria Math" w:cs="Cambria Math" w:eastAsia="Cambria Math" w:hAnsi="Cambria Math"/>
          <w:i w:val="false"/>
          <w:iCs w:val="false"/>
          <w:sz w:val="22"/>
          <w:szCs w:val="22"/>
        </w:rPr>
        <w:t xml:space="preserve">s_m = (1/n) · Σ_p [ p(Dovish | paragraph_p) − p(Hawkish | paragraph_p) ]</w:t>
      </w:r>
    </w:p>
    <w:p>
      <w:pPr>
        <w:spacing w:after="120" w:line="276"/>
        <w:jc w:val="both"/>
      </w:pPr>
      <w:r>
        <w:rPr>
          <w:rFonts w:ascii="Calibri" w:cs="Calibri" w:eastAsia="Calibri" w:hAnsi="Calibri"/>
          <w:sz w:val="22"/>
          <w:szCs w:val="22"/>
        </w:rPr>
        <w:t xml:space="preserve">where probabilities are softmax outputs from the fine-tuned classifier. This continuous signal in [−1, +1] is more informative than the discrete labels from Phase 1 because it encodes the model's confidence in each classification.</w:t>
      </w:r>
    </w:p>
    <w:p>
      <w:pPr>
        <w:pStyle w:val="Heading3"/>
        <w:spacing w:after="80" w:before="180"/>
      </w:pPr>
      <w:r>
        <w:rPr>
          <w:rFonts w:ascii="Calibri" w:cs="Calibri" w:eastAsia="Calibri" w:hAnsi="Calibri"/>
          <w:b/>
          <w:bCs/>
          <w:i/>
          <w:iCs/>
          <w:sz w:val="22"/>
          <w:szCs w:val="22"/>
        </w:rPr>
        <w:t xml:space="preserve">4.2.4 MixMCP Comparison</w:t>
      </w:r>
    </w:p>
    <w:p>
      <w:pPr>
        <w:spacing w:after="120" w:line="276"/>
        <w:jc w:val="both"/>
      </w:pPr>
      <w:r>
        <w:rPr>
          <w:rFonts w:ascii="Calibri" w:cs="Calibri" w:eastAsia="Calibri" w:hAnsi="Calibri"/>
          <w:sz w:val="22"/>
          <w:szCs w:val="22"/>
        </w:rPr>
        <w:t xml:space="preserve">The Phase 1 MixMCP framework is repeated with the meeting-level FinBERT signal substituted for the LM composite. The α-sweep, Brier scoring, and ECE methodology are identical. We report the slope of Brier degradation with α as the primary comparison metric, following the principle that the absolute baselines differ between the LM and FinBERT subsets (234 markets across 7 meetings vs. 171 markets across 5 meetings) and only the slope is directly comparable.</w:t>
      </w:r>
    </w:p>
    <w:p>
      <w:pPr>
        <w:pStyle w:val="Heading2"/>
        <w:spacing w:after="120" w:before="240"/>
      </w:pPr>
      <w:r>
        <w:rPr>
          <w:rFonts w:ascii="Calibri" w:cs="Calibri" w:eastAsia="Calibri" w:hAnsi="Calibri"/>
          <w:b/>
          <w:bCs/>
          <w:sz w:val="24"/>
          <w:szCs w:val="24"/>
        </w:rPr>
        <w:t xml:space="preserve">4.3 Phase 3v1 — Kalshi Expectation Portfolio</w:t>
      </w:r>
    </w:p>
    <w:p>
      <w:pPr>
        <w:spacing w:after="120" w:line="276"/>
        <w:jc w:val="both"/>
      </w:pPr>
      <w:r>
        <w:rPr>
          <w:rFonts w:ascii="Calibri" w:cs="Calibri" w:eastAsia="Calibri" w:hAnsi="Calibri"/>
          <w:sz w:val="22"/>
          <w:szCs w:val="22"/>
        </w:rPr>
        <w:t xml:space="preserve">Phase 3v1 takes Kalshi as the best available signal and applies the assignment-rubric portfolio framework. The Kalshi-implied expected bps at T-7 (Section 3.4) is the sorting variable for a quintile long-short portfolio across four ETFs.</w:t>
      </w:r>
    </w:p>
    <w:p>
      <w:pPr>
        <w:pStyle w:val="Heading3"/>
        <w:spacing w:after="80" w:before="180"/>
      </w:pPr>
      <w:r>
        <w:rPr>
          <w:rFonts w:ascii="Calibri" w:cs="Calibri" w:eastAsia="Calibri" w:hAnsi="Calibri"/>
          <w:b/>
          <w:bCs/>
          <w:i/>
          <w:iCs/>
          <w:sz w:val="22"/>
          <w:szCs w:val="22"/>
        </w:rPr>
        <w:t xml:space="preserve">4.3.1 Portfolio Construction</w:t>
      </w:r>
    </w:p>
    <w:p>
      <w:pPr>
        <w:spacing w:after="120" w:line="276"/>
        <w:jc w:val="both"/>
      </w:pPr>
      <w:r>
        <w:rPr>
          <w:rFonts w:ascii="Calibri" w:cs="Calibri" w:eastAsia="Calibri" w:hAnsi="Calibri"/>
          <w:sz w:val="22"/>
          <w:szCs w:val="22"/>
        </w:rPr>
        <w:t xml:space="preserve">Meetings are sorted by kalshi_expected_bps in ascending order (most dovish to most hawkish) and assigned quintile labels F1 through F5 using equal-count bins. With N = 22 meetings, each quintile contains approximately 4 meetings. An equally-weighted portfolio is formed within each quintile bin for each ETF–horizon combination. The long–short portfolio pairs F1 (long leg) against F5 (short leg) for TLT, IEF, and SPY and pairs F5 (long) against F1 (short) for XLF, reflecting the opposing rate-sensitivity direction of bank equity vs. duration assets.</w:t>
      </w:r>
    </w:p>
    <w:p>
      <w:pPr>
        <w:pStyle w:val="Heading3"/>
        <w:spacing w:after="80" w:before="180"/>
      </w:pPr>
      <w:r>
        <w:rPr>
          <w:rFonts w:ascii="Calibri" w:cs="Calibri" w:eastAsia="Calibri" w:hAnsi="Calibri"/>
          <w:b/>
          <w:bCs/>
          <w:i/>
          <w:iCs/>
          <w:sz w:val="22"/>
          <w:szCs w:val="22"/>
        </w:rPr>
        <w:t xml:space="preserve">4.3.2 Performance Metrics</w:t>
      </w:r>
    </w:p>
    <w:p>
      <w:pPr>
        <w:pStyle w:val="ListParagraph"/>
        <w:numPr>
          <w:ilvl w:val="0"/>
          <w:numId w:val="2"/>
        </w:numPr>
        <w:spacing w:after="80" w:line="276"/>
      </w:pPr>
      <w:r>
        <w:rPr>
          <w:rFonts w:ascii="Calibri" w:cs="Calibri" w:eastAsia="Calibri" w:hAnsi="Calibri"/>
          <w:b/>
          <w:bCs/>
          <w:sz w:val="22"/>
          <w:szCs w:val="22"/>
        </w:rPr>
        <w:t xml:space="preserve">Fractile returns (F1–F5): </w:t>
      </w:r>
      <w:r>
        <w:rPr>
          <w:rFonts w:ascii="Calibri" w:cs="Calibri" w:eastAsia="Calibri" w:hAnsi="Calibri"/>
          <w:sz w:val="22"/>
          <w:szCs w:val="22"/>
        </w:rPr>
        <w:t xml:space="preserve">Mean return per quintile bin at each horizon. Reports F1−F5 (long–short spread), F1−Benchmark (long-leg alpha over full-sample mean), and Benchmark−F5 (full-sample mean over short-leg).</w:t>
      </w:r>
    </w:p>
    <w:p>
      <w:pPr>
        <w:pStyle w:val="ListParagraph"/>
        <w:numPr>
          <w:ilvl w:val="0"/>
          <w:numId w:val="2"/>
        </w:numPr>
        <w:spacing w:after="80" w:line="276"/>
      </w:pPr>
      <w:r>
        <w:rPr>
          <w:rFonts w:ascii="Calibri" w:cs="Calibri" w:eastAsia="Calibri" w:hAnsi="Calibri"/>
          <w:b/>
          <w:bCs/>
          <w:sz w:val="22"/>
          <w:szCs w:val="22"/>
        </w:rPr>
        <w:t xml:space="preserve">Information Coefficient (IC): </w:t>
      </w:r>
      <w:r>
        <w:rPr>
          <w:rFonts w:ascii="Calibri" w:cs="Calibri" w:eastAsia="Calibri" w:hAnsi="Calibri"/>
          <w:sz w:val="22"/>
          <w:szCs w:val="22"/>
        </w:rPr>
        <w:t xml:space="preserve">Spearman rank correlation between the continuous kalshi_expected_bps signal and forward ETF returns across all 22 meetings.</w:t>
      </w:r>
    </w:p>
    <w:p>
      <w:pPr>
        <w:pStyle w:val="ListParagraph"/>
        <w:numPr>
          <w:ilvl w:val="0"/>
          <w:numId w:val="2"/>
        </w:numPr>
        <w:spacing w:after="80" w:line="276"/>
      </w:pPr>
      <w:r>
        <w:rPr>
          <w:rFonts w:ascii="Calibri" w:cs="Calibri" w:eastAsia="Calibri" w:hAnsi="Calibri"/>
          <w:b/>
          <w:bCs/>
          <w:sz w:val="22"/>
          <w:szCs w:val="22"/>
        </w:rPr>
        <w:t xml:space="preserve">Information Ratio (IR): </w:t>
      </w:r>
      <w:r>
        <w:rPr>
          <w:rFonts w:ascii="Calibri" w:cs="Calibri" w:eastAsia="Calibri" w:hAnsi="Calibri"/>
          <w:sz w:val="22"/>
          <w:szCs w:val="22"/>
        </w:rPr>
        <w:t xml:space="preserve">Mean annual IC divided by standard deviation of annual IC across calendar years 2023–2026. With four annual observations and small per-year N, the IR is interpreted directionally; an IR above 0.5 is the conventional threshold for further investigation (Grinold &amp; Kahn, 1999).</w:t>
      </w:r>
    </w:p>
    <w:p>
      <w:pPr>
        <w:pStyle w:val="ListParagraph"/>
        <w:numPr>
          <w:ilvl w:val="0"/>
          <w:numId w:val="2"/>
        </w:numPr>
        <w:spacing w:after="80" w:line="276"/>
      </w:pPr>
      <w:r>
        <w:rPr>
          <w:rFonts w:ascii="Calibri" w:cs="Calibri" w:eastAsia="Calibri" w:hAnsi="Calibri"/>
          <w:b/>
          <w:bCs/>
          <w:sz w:val="22"/>
          <w:szCs w:val="22"/>
        </w:rPr>
        <w:t xml:space="preserve">Hit rate: </w:t>
      </w:r>
      <w:r>
        <w:rPr>
          <w:rFonts w:ascii="Calibri" w:cs="Calibri" w:eastAsia="Calibri" w:hAnsi="Calibri"/>
          <w:sz w:val="22"/>
          <w:szCs w:val="22"/>
        </w:rPr>
        <w:t xml:space="preserve">Fraction of meetings where the binary dovish/hawkish signal (above vs. below median expected bps) correctly predicts whether the ETF return is above or below the full-sample benchmark, tested against the 50% null using a one-sided binomial test.</w:t>
      </w:r>
    </w:p>
    <w:p>
      <w:pPr>
        <w:pStyle w:val="ListParagraph"/>
        <w:numPr>
          <w:ilvl w:val="0"/>
          <w:numId w:val="2"/>
        </w:numPr>
        <w:spacing w:after="80" w:line="276"/>
      </w:pPr>
      <w:r>
        <w:rPr>
          <w:rFonts w:ascii="Calibri" w:cs="Calibri" w:eastAsia="Calibri" w:hAnsi="Calibri"/>
          <w:b/>
          <w:bCs/>
          <w:sz w:val="22"/>
          <w:szCs w:val="22"/>
        </w:rPr>
        <w:t xml:space="preserve">Bonus regression: </w:t>
      </w:r>
      <w:r>
        <w:rPr>
          <w:rFonts w:ascii="Calibri" w:cs="Calibri" w:eastAsia="Calibri" w:hAnsi="Calibri"/>
          <w:sz w:val="22"/>
          <w:szCs w:val="22"/>
        </w:rPr>
        <w:t xml:space="preserve">OLS regression of forward returns on the continuous kalshi_expected_bps signal, reporting β₁, t-statistic, p-value, and R², providing a parametric complement to the rank-based IC.</w:t>
      </w:r>
    </w:p>
    <w:p>
      <w:pPr>
        <w:pStyle w:val="Heading2"/>
        <w:spacing w:after="120" w:before="240"/>
      </w:pPr>
      <w:r>
        <w:rPr>
          <w:rFonts w:ascii="Calibri" w:cs="Calibri" w:eastAsia="Calibri" w:hAnsi="Calibri"/>
          <w:b/>
          <w:bCs/>
          <w:sz w:val="24"/>
          <w:szCs w:val="24"/>
        </w:rPr>
        <w:t xml:space="preserve">4.4 Phase 3v2 — Bernanke–Kuttner Surprise Specification</w:t>
      </w:r>
    </w:p>
    <w:p>
      <w:pPr>
        <w:spacing w:after="120" w:line="276"/>
        <w:jc w:val="both"/>
      </w:pPr>
      <w:r>
        <w:rPr>
          <w:rFonts w:ascii="Calibri" w:cs="Calibri" w:eastAsia="Calibri" w:hAnsi="Calibri"/>
          <w:sz w:val="22"/>
          <w:szCs w:val="22"/>
        </w:rPr>
        <w:t xml:space="preserve">Phase 3v1 results show marginal predictability with several sign reversals at short horizons. The structural diagnosis is that the T-7 Kalshi expectation conflates the anticipated and surprise components of monetary policy. Bernanke &amp; Kuttner (2005) establish that it is the surprise component — the gap between the actual decision and the market-implied expectation — that drives asset-price responses. The anticipated component is already embedded in prices before the meeting. Phase 3v2 implements the Bernanke–Kuttner approach directly.</w:t>
      </w:r>
    </w:p>
    <w:p>
      <w:pPr>
        <w:pStyle w:val="Heading3"/>
        <w:spacing w:after="80" w:before="180"/>
      </w:pPr>
      <w:r>
        <w:rPr>
          <w:rFonts w:ascii="Calibri" w:cs="Calibri" w:eastAsia="Calibri" w:hAnsi="Calibri"/>
          <w:b/>
          <w:bCs/>
          <w:i/>
          <w:iCs/>
          <w:sz w:val="22"/>
          <w:szCs w:val="22"/>
        </w:rPr>
        <w:t xml:space="preserve">4.4.1 Signal Construction</w:t>
      </w:r>
    </w:p>
    <w:p>
      <w:pPr>
        <w:spacing w:after="120" w:line="276"/>
        <w:jc w:val="both"/>
      </w:pPr>
      <w:r>
        <w:rPr>
          <w:rFonts w:ascii="Calibri" w:cs="Calibri" w:eastAsia="Calibri" w:hAnsi="Calibri"/>
          <w:sz w:val="22"/>
          <w:szCs w:val="22"/>
        </w:rPr>
        <w:t xml:space="preserve">The surprise signal is computed as</w:t>
      </w:r>
    </w:p>
    <w:p>
      <w:pPr>
        <w:spacing w:after="160" w:before="120" w:line="276"/>
        <w:jc w:val="center"/>
      </w:pPr>
      <w:r>
        <w:rPr>
          <w:rFonts w:ascii="Cambria Math" w:cs="Cambria Math" w:eastAsia="Cambria Math" w:hAnsi="Cambria Math"/>
          <w:i w:val="false"/>
          <w:iCs w:val="false"/>
          <w:sz w:val="22"/>
          <w:szCs w:val="22"/>
        </w:rPr>
        <w:t xml:space="preserve">surprise_bps = decision_bps − kalshi_expected_bps_T7</w:t>
      </w:r>
    </w:p>
    <w:p>
      <w:pPr>
        <w:spacing w:after="120" w:line="276"/>
        <w:jc w:val="both"/>
      </w:pPr>
      <w:r>
        <w:rPr>
          <w:rFonts w:ascii="Calibri" w:cs="Calibri" w:eastAsia="Calibri" w:hAnsi="Calibri"/>
          <w:sz w:val="22"/>
          <w:szCs w:val="22"/>
        </w:rPr>
        <w:t xml:space="preserve">where decision_bps is the actual realized rate change and kalshi_expected_bps_T7 is the probability-weighted expected rate change from Kalshi rate-decision markets in the T-10 to T-5 window. Positive values indicate hawkish surprises (Fed tighter than expected); negative values indicate dovish surprises (Fed easier than expected). N = 23 meetings have complete data (November 2023 through February 2026).</w:t>
      </w:r>
    </w:p>
    <w:p>
      <w:pPr>
        <w:pStyle w:val="Heading3"/>
        <w:spacing w:after="80" w:before="180"/>
      </w:pPr>
      <w:r>
        <w:rPr>
          <w:rFonts w:ascii="Calibri" w:cs="Calibri" w:eastAsia="Calibri" w:hAnsi="Calibri"/>
          <w:b/>
          <w:bCs/>
          <w:i/>
          <w:iCs/>
          <w:sz w:val="22"/>
          <w:szCs w:val="22"/>
        </w:rPr>
        <w:t xml:space="preserve">4.4.2 Asset Universe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700"/>
        <w:gridCol w:w="3060"/>
        <w:gridCol w:w="2900"/>
      </w:tblGrid>
      <w:tr>
        <w:trPr>
          <w:tblHeader/>
        </w:trPr>
        <w:tc>
          <w:tcPr>
            <w:tcW w:type="dxa" w:w="27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Asset</w:t>
            </w:r>
          </w:p>
        </w:tc>
        <w:tc>
          <w:tcPr>
            <w:tcW w:type="dxa" w:w="7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Ticker</w:t>
            </w:r>
          </w:p>
        </w:tc>
        <w:tc>
          <w:tcPr>
            <w:tcW w:type="dxa" w:w="306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Rate sensitivity</w:t>
            </w:r>
          </w:p>
        </w:tc>
        <w:tc>
          <w:tcPr>
            <w:tcW w:type="dxa" w:w="29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Expected surprise sign</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3–7y Treasuries (PRIMARY)</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IEI</w:t>
            </w:r>
          </w:p>
        </w:tc>
        <w:tc>
          <w:tcPr>
            <w:tcW w:type="dxa" w:w="3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Belly of yield curve — cleanest Kuttner loading</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β &lt; 0 (hawkish surprise → IEI falls)</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Regional banks (PRIMARY)</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KRE</w:t>
            </w:r>
          </w:p>
        </w:tc>
        <w:tc>
          <w:tcPr>
            <w:tcW w:type="dxa" w:w="3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Pure NIM play — replaces broad XLF</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β &gt; 0 in theory; β &lt; 0 in soft-landing cycle</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Real estate (supplementary)</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XLRE</w:t>
            </w:r>
          </w:p>
        </w:tc>
        <w:tc>
          <w:tcPr>
            <w:tcW w:type="dxa" w:w="3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High-duration equity</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β &lt; 0</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10y yield (diagnostic)</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^TNX</w:t>
            </w:r>
          </w:p>
        </w:tc>
        <w:tc>
          <w:tcPr>
            <w:tcW w:type="dxa" w:w="3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Direct yield response — not investable</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β &gt; 0 (yield rises)</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20+y Treasuries (supplementary)</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TLT</w:t>
            </w:r>
          </w:p>
        </w:tc>
        <w:tc>
          <w:tcPr>
            <w:tcW w:type="dxa" w:w="3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High duration; term-premium contamination</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β &lt; 0</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1–3y Treasuries (regime variable)</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SHY</w:t>
            </w:r>
          </w:p>
        </w:tc>
        <w:tc>
          <w:tcPr>
            <w:tcW w:type="dxa" w:w="30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Yield-curve slope construction</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β &lt; 0</w:t>
            </w:r>
          </w:p>
        </w:tc>
      </w:tr>
    </w:tbl>
    <w:p>
      <w:pPr>
        <w:spacing w:after="160" w:before="60"/>
        <w:jc w:val="left"/>
      </w:pPr>
      <w:r>
        <w:rPr>
          <w:rFonts w:ascii="Calibri" w:cs="Calibri" w:eastAsia="Calibri" w:hAnsi="Calibri"/>
          <w:i/>
          <w:iCs/>
          <w:sz w:val="20"/>
          <w:szCs w:val="20"/>
        </w:rPr>
        <w:t xml:space="preserve">Table 4.1. Asset universe and a priori expected surprise sign in Phase 3v2.</w:t>
      </w:r>
    </w:p>
    <w:p>
      <w:pPr>
        <w:pStyle w:val="Heading3"/>
        <w:spacing w:after="80" w:before="180"/>
      </w:pPr>
      <w:r>
        <w:rPr>
          <w:rFonts w:ascii="Calibri" w:cs="Calibri" w:eastAsia="Calibri" w:hAnsi="Calibri"/>
          <w:b/>
          <w:bCs/>
          <w:i/>
          <w:iCs/>
          <w:sz w:val="22"/>
          <w:szCs w:val="22"/>
        </w:rPr>
        <w:t xml:space="preserve">4.4.3 Return Construction</w:t>
      </w:r>
    </w:p>
    <w:p>
      <w:pPr>
        <w:spacing w:after="120" w:line="276"/>
        <w:jc w:val="both"/>
      </w:pPr>
      <w:r>
        <w:rPr>
          <w:rFonts w:ascii="Calibri" w:cs="Calibri" w:eastAsia="Calibri" w:hAnsi="Calibri"/>
          <w:sz w:val="22"/>
          <w:szCs w:val="22"/>
        </w:rPr>
        <w:t xml:space="preserve">Returns are measured as same-day open-to-close on the FOMC announcement day: (Close_t − Open_t)/Open_t. The FOMC statement is released at 2:00 p.m. ET; the 9:30 a.m. open is uncontaminated by the announcement and the 4:00 p.m. close incorporates the full market reaction. This 6.5-hour window is the cleanest yfinance approximation of the Bernanke–Kuttner event window. We acknowledge it is wider than the canonical 30-minute event window and discuss the implications in Section 7. A 5-day close-to-close return is computed as a robustness check.</w:t>
      </w:r>
    </w:p>
    <w:p>
      <w:pPr>
        <w:pStyle w:val="Heading3"/>
        <w:spacing w:after="80" w:before="180"/>
      </w:pPr>
      <w:r>
        <w:rPr>
          <w:rFonts w:ascii="Calibri" w:cs="Calibri" w:eastAsia="Calibri" w:hAnsi="Calibri"/>
          <w:b/>
          <w:bCs/>
          <w:i/>
          <w:iCs/>
          <w:sz w:val="22"/>
          <w:szCs w:val="22"/>
        </w:rPr>
        <w:t xml:space="preserve">4.4.4 Estimation</w:t>
      </w:r>
    </w:p>
    <w:p>
      <w:pPr>
        <w:spacing w:after="120" w:line="276"/>
        <w:jc w:val="both"/>
      </w:pPr>
      <w:r>
        <w:rPr>
          <w:rFonts w:ascii="Calibri" w:cs="Calibri" w:eastAsia="Calibri" w:hAnsi="Calibri"/>
          <w:sz w:val="22"/>
          <w:szCs w:val="22"/>
        </w:rPr>
        <w:t xml:space="preserve">Primary estimation uses OLS with Newey–West heteroskedasticity- and autocorrelation-consistent (HAC) standard errors, maximum lags = 5:</w:t>
      </w:r>
    </w:p>
    <w:p>
      <w:pPr>
        <w:spacing w:after="160" w:before="120" w:line="276"/>
        <w:jc w:val="center"/>
      </w:pPr>
      <w:r>
        <w:rPr>
          <w:rFonts w:ascii="Cambria Math" w:cs="Cambria Math" w:eastAsia="Cambria Math" w:hAnsi="Cambria Math"/>
          <w:i w:val="false"/>
          <w:iCs w:val="false"/>
          <w:sz w:val="22"/>
          <w:szCs w:val="22"/>
        </w:rPr>
        <w:t xml:space="preserve">return_OTC = β₀ + β₁ · surprise_bps + ε</w:t>
      </w:r>
    </w:p>
    <w:p>
      <w:pPr>
        <w:spacing w:after="120" w:line="276"/>
        <w:jc w:val="both"/>
      </w:pPr>
      <w:r>
        <w:rPr>
          <w:rFonts w:ascii="Calibri" w:cs="Calibri" w:eastAsia="Calibri" w:hAnsi="Calibri"/>
          <w:sz w:val="22"/>
          <w:szCs w:val="22"/>
        </w:rPr>
        <w:t xml:space="preserve">No quintile sorting is used. The full sample of N = 23 meetings enters each regression, preserving all available degrees of freedom and avoiding the bin-size problem from Phase 3v1. A z-score weighted portfolio (position_m = z(surprise_m)) provides a Sharpe-based performance summary with bootstrap 95% confidence intervals (1,000 replications, meeting-level resampling).</w:t>
      </w:r>
    </w:p>
    <w:p>
      <w:pPr>
        <w:pStyle w:val="Heading1"/>
        <w:pageBreakBefore/>
        <w:spacing w:after="160" w:before="0"/>
      </w:pPr>
      <w:r>
        <w:rPr>
          <w:rFonts w:ascii="Calibri" w:cs="Calibri" w:eastAsia="Calibri" w:hAnsi="Calibri"/>
          <w:b/>
          <w:bCs/>
          <w:sz w:val="28"/>
          <w:szCs w:val="28"/>
        </w:rPr>
        <w:t xml:space="preserve">5. Results</w:t>
      </w:r>
    </w:p>
    <w:p>
      <w:pPr>
        <w:pStyle w:val="Heading2"/>
        <w:spacing w:after="120" w:before="240"/>
      </w:pPr>
      <w:r>
        <w:rPr>
          <w:rFonts w:ascii="Calibri" w:cs="Calibri" w:eastAsia="Calibri" w:hAnsi="Calibri"/>
          <w:b/>
          <w:bCs/>
          <w:sz w:val="24"/>
          <w:szCs w:val="24"/>
        </w:rPr>
        <w:t xml:space="preserve">5.1 Phase 1 — LM Dictionary Signal</w:t>
      </w:r>
    </w:p>
    <w:p>
      <w:pPr>
        <w:pStyle w:val="Heading3"/>
        <w:spacing w:after="80" w:before="180"/>
      </w:pPr>
      <w:r>
        <w:rPr>
          <w:rFonts w:ascii="Calibri" w:cs="Calibri" w:eastAsia="Calibri" w:hAnsi="Calibri"/>
          <w:b/>
          <w:bCs/>
          <w:i/>
          <w:iCs/>
          <w:sz w:val="22"/>
          <w:szCs w:val="22"/>
        </w:rPr>
        <w:t xml:space="preserve">5.1.1 Validation</w:t>
      </w:r>
    </w:p>
    <w:p>
      <w:pPr>
        <w:spacing w:after="120" w:line="276"/>
        <w:jc w:val="both"/>
      </w:pPr>
      <w:r>
        <w:rPr>
          <w:rFonts w:ascii="Calibri" w:cs="Calibri" w:eastAsia="Calibri" w:hAnsi="Calibri"/>
          <w:sz w:val="22"/>
          <w:szCs w:val="22"/>
        </w:rPr>
        <w:t xml:space="preserve">Table 5.1 reports validation Spearman r values across the three pre-registered layers and the orthogonal construct check. Layer 1 (N = 17) is qualitatively informative only; the definitive results are Layers 2 and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700"/>
        <w:gridCol w:w="1500"/>
        <w:gridCol w:w="1300"/>
        <w:gridCol w:w="1960"/>
      </w:tblGrid>
      <w:tr>
        <w:trPr>
          <w:tblHeader/>
        </w:trPr>
        <w:tc>
          <w:tcPr>
            <w:tcW w:type="dxa" w:w="15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Layer</w:t>
            </w:r>
          </w:p>
        </w:tc>
        <w:tc>
          <w:tcPr>
            <w:tcW w:type="dxa" w:w="24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Dataset</w:t>
            </w:r>
          </w:p>
        </w:tc>
        <w:tc>
          <w:tcPr>
            <w:tcW w:type="dxa" w:w="7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N</w:t>
            </w:r>
          </w:p>
        </w:tc>
        <w:tc>
          <w:tcPr>
            <w:tcW w:type="dxa" w:w="15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Spearman r</w:t>
            </w:r>
          </w:p>
        </w:tc>
        <w:tc>
          <w:tcPr>
            <w:tcW w:type="dxa" w:w="13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p-value</w:t>
            </w:r>
          </w:p>
        </w:tc>
        <w:tc>
          <w:tcPr>
            <w:tcW w:type="dxa" w:w="196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Verdict</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1 — Personal*</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powell_handcoded.csv</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17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0.130</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0.618</w:t>
            </w:r>
          </w:p>
        </w:tc>
        <w:tc>
          <w:tcPr>
            <w:tcW w:type="dxa" w:w="1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*N too small</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2 — LLM (Claude)</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llm_labeled_final.csv</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500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0.062</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0.164</w:t>
            </w:r>
          </w:p>
        </w:tc>
        <w:tc>
          <w:tcPr>
            <w:tcW w:type="dxa" w:w="1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Definitive: FAIL</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3 — Shah et al.</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shah_combine_test.xlsx</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476</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0.069</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0.134</w:t>
            </w:r>
          </w:p>
        </w:tc>
        <w:tc>
          <w:tcPr>
            <w:tcW w:type="dxa" w:w="1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Definitive: FAIL</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Uncertainty dim.</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raw_class_labels.csv</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1,364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0.167***</w:t>
            </w:r>
          </w:p>
        </w:tc>
        <w:tc>
          <w:tcPr>
            <w:tcW w:type="dxa" w:w="1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&lt;0.001</w:t>
            </w:r>
          </w:p>
        </w:tc>
        <w:tc>
          <w:tcPr>
            <w:tcW w:type="dxa" w:w="1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Different construct</w:t>
            </w:r>
          </w:p>
        </w:tc>
      </w:tr>
    </w:tbl>
    <w:p>
      <w:pPr>
        <w:spacing w:after="160" w:before="60"/>
        <w:jc w:val="left"/>
      </w:pPr>
      <w:r>
        <w:rPr>
          <w:rFonts w:ascii="Calibri" w:cs="Calibri" w:eastAsia="Calibri" w:hAnsi="Calibri"/>
          <w:i/>
          <w:iCs/>
          <w:sz w:val="20"/>
          <w:szCs w:val="20"/>
        </w:rPr>
        <w:t xml:space="preserve">Table 5.1. Three-layer validation of the LM hawkish/dovish signal plus orthogonal Uncertainty construct check. Pre-registered gate r &gt; 0.5 fails decisively at Layers 2 and 3.</w:t>
      </w:r>
    </w:p>
    <w:p>
      <w:pPr>
        <w:spacing w:after="120" w:line="276"/>
        <w:jc w:val="both"/>
      </w:pPr>
      <w:r>
        <w:rPr>
          <w:rFonts w:ascii="Calibri" w:cs="Calibri" w:eastAsia="Calibri" w:hAnsi="Calibri"/>
          <w:sz w:val="22"/>
          <w:szCs w:val="22"/>
        </w:rPr>
        <w:t xml:space="preserve">Convergence of Layers 2 and 3 at r ≈ 0.06–0.07 across independent corpora — different speakers, different eras, different text lengths, totaling 976 observations — is the headline finding. This is not sampling noise but the LM dictionary's true performance ceiling on Fed paragraph-level directional classification. The one significant result, LM Uncertainty against confidence labels (r = 0.167, p &lt; 0.001, N = 1,364), occurs precisely at the granularity and construct the dictionary was designed for: short-text uncertainty detection. The structural decomposition in Section 5.1.5 develops the implications.</w:t>
      </w:r>
    </w:p>
    <w:p>
      <w:pPr>
        <w:spacing w:after="120" w:line="276"/>
        <w:jc w:val="both"/>
      </w:pPr>
      <w:r>
        <w:rPr>
          <w:rFonts w:ascii="Calibri" w:cs="Calibri" w:eastAsia="Calibri" w:hAnsi="Calibri"/>
          <w:sz w:val="22"/>
          <w:szCs w:val="22"/>
        </w:rPr>
        <w:t xml:space="preserve">All financial tests in Phase 1 (Sections 5.1.2–5.1.4) are therefore exploratory under the pre-registered protocol. Meeting-level signal aggregation across 2–7 documents per window is a different statistic from paragraph-level classification accuracy, and noise may average out. We test this explicitly while disclosing that the pre-registered gate failed.</w:t>
      </w:r>
    </w:p>
    <w:p>
      <w:pPr>
        <w:pStyle w:val="Heading3"/>
        <w:spacing w:after="80" w:before="180"/>
      </w:pPr>
      <w:r>
        <w:rPr>
          <w:rFonts w:ascii="Calibri" w:cs="Calibri" w:eastAsia="Calibri" w:hAnsi="Calibri"/>
          <w:b/>
          <w:bCs/>
          <w:i/>
          <w:iCs/>
          <w:sz w:val="22"/>
          <w:szCs w:val="22"/>
        </w:rPr>
        <w:t xml:space="preserve">5.1.2 Equity Return Backtest</w:t>
      </w:r>
    </w:p>
    <w:p>
      <w:pPr>
        <w:spacing w:after="120" w:line="276"/>
        <w:jc w:val="both"/>
      </w:pPr>
      <w:r>
        <w:rPr>
          <w:rFonts w:ascii="Calibri" w:cs="Calibri" w:eastAsia="Calibri" w:hAnsi="Calibri"/>
          <w:sz w:val="22"/>
          <w:szCs w:val="22"/>
        </w:rPr>
        <w:t xml:space="preserve">Table 5.2 reports OLS regression results for all 12 ETF–horizon combinations. Zero results survive Bonferroni correction (α = 0.0042). The closest approach is TLT at 5 days (p = 0.123, β = −0.460) and XLF at 5 days (p = 0.160, β = +0.636).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10"/>
        <w:gridCol w:w="1310"/>
        <w:gridCol w:w="1310"/>
        <w:gridCol w:w="1310"/>
        <w:gridCol w:w="1310"/>
        <w:gridCol w:w="1310"/>
      </w:tblGrid>
      <w:tr>
        <w:trPr>
          <w:tblHeader/>
        </w:trPr>
        <w:tc>
          <w:tcPr>
            <w:tcW w:type="dxa" w:w="15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ETF</w:t>
            </w:r>
          </w:p>
        </w:tc>
        <w:tc>
          <w:tcPr>
            <w:tcW w:type="dxa" w:w="131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1d β</w:t>
            </w:r>
          </w:p>
        </w:tc>
        <w:tc>
          <w:tcPr>
            <w:tcW w:type="dxa" w:w="131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1d p</w:t>
            </w:r>
          </w:p>
        </w:tc>
        <w:tc>
          <w:tcPr>
            <w:tcW w:type="dxa" w:w="131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5d β</w:t>
            </w:r>
          </w:p>
        </w:tc>
        <w:tc>
          <w:tcPr>
            <w:tcW w:type="dxa" w:w="131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5d p</w:t>
            </w:r>
          </w:p>
        </w:tc>
        <w:tc>
          <w:tcPr>
            <w:tcW w:type="dxa" w:w="131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20d β</w:t>
            </w:r>
          </w:p>
        </w:tc>
        <w:tc>
          <w:tcPr>
            <w:tcW w:type="dxa" w:w="131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20d p</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XLF</w:t>
            </w:r>
          </w:p>
        </w:tc>
        <w:tc>
          <w:tcPr>
            <w:tcW w:type="dxa" w:w="13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−0.139</w:t>
            </w:r>
          </w:p>
        </w:tc>
        <w:tc>
          <w:tcPr>
            <w:tcW w:type="dxa" w:w="13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0.627</w:t>
            </w:r>
          </w:p>
        </w:tc>
        <w:tc>
          <w:tcPr>
            <w:tcW w:type="dxa" w:w="13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+0.636</w:t>
            </w:r>
          </w:p>
        </w:tc>
        <w:tc>
          <w:tcPr>
            <w:tcW w:type="dxa" w:w="13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0.160</w:t>
            </w:r>
          </w:p>
        </w:tc>
        <w:tc>
          <w:tcPr>
            <w:tcW w:type="dxa" w:w="13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+0.103</w:t>
            </w:r>
          </w:p>
        </w:tc>
        <w:tc>
          <w:tcPr>
            <w:tcW w:type="dxa" w:w="13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0.899</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IEF</w:t>
            </w:r>
          </w:p>
        </w:tc>
        <w:tc>
          <w:tcPr>
            <w:tcW w:type="dxa" w:w="13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−0.022</w:t>
            </w:r>
          </w:p>
        </w:tc>
        <w:tc>
          <w:tcPr>
            <w:tcW w:type="dxa" w:w="13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0.779</w:t>
            </w:r>
          </w:p>
        </w:tc>
        <w:tc>
          <w:tcPr>
            <w:tcW w:type="dxa" w:w="13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−0.102</w:t>
            </w:r>
          </w:p>
        </w:tc>
        <w:tc>
          <w:tcPr>
            <w:tcW w:type="dxa" w:w="13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0.399</w:t>
            </w:r>
          </w:p>
        </w:tc>
        <w:tc>
          <w:tcPr>
            <w:tcW w:type="dxa" w:w="13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+0.239</w:t>
            </w:r>
          </w:p>
        </w:tc>
        <w:tc>
          <w:tcPr>
            <w:tcW w:type="dxa" w:w="13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0.391</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TLT</w:t>
            </w:r>
          </w:p>
        </w:tc>
        <w:tc>
          <w:tcPr>
            <w:tcW w:type="dxa" w:w="13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−0.134</w:t>
            </w:r>
          </w:p>
        </w:tc>
        <w:tc>
          <w:tcPr>
            <w:tcW w:type="dxa" w:w="13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0.442</w:t>
            </w:r>
          </w:p>
        </w:tc>
        <w:tc>
          <w:tcPr>
            <w:tcW w:type="dxa" w:w="13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−0.460</w:t>
            </w:r>
          </w:p>
        </w:tc>
        <w:tc>
          <w:tcPr>
            <w:tcW w:type="dxa" w:w="13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0.123</w:t>
            </w:r>
          </w:p>
        </w:tc>
        <w:tc>
          <w:tcPr>
            <w:tcW w:type="dxa" w:w="13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+0.105</w:t>
            </w:r>
          </w:p>
        </w:tc>
        <w:tc>
          <w:tcPr>
            <w:tcW w:type="dxa" w:w="13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0.864</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SPY</w:t>
            </w:r>
          </w:p>
        </w:tc>
        <w:tc>
          <w:tcPr>
            <w:tcW w:type="dxa" w:w="13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−0.147</w:t>
            </w:r>
          </w:p>
        </w:tc>
        <w:tc>
          <w:tcPr>
            <w:tcW w:type="dxa" w:w="13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0.527</w:t>
            </w:r>
          </w:p>
        </w:tc>
        <w:tc>
          <w:tcPr>
            <w:tcW w:type="dxa" w:w="13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+0.408</w:t>
            </w:r>
          </w:p>
        </w:tc>
        <w:tc>
          <w:tcPr>
            <w:tcW w:type="dxa" w:w="13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0.257</w:t>
            </w:r>
          </w:p>
        </w:tc>
        <w:tc>
          <w:tcPr>
            <w:tcW w:type="dxa" w:w="13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+0.182</w:t>
            </w:r>
          </w:p>
        </w:tc>
        <w:tc>
          <w:tcPr>
            <w:tcW w:type="dxa" w:w="13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0.737</w:t>
            </w:r>
          </w:p>
        </w:tc>
      </w:tr>
    </w:tbl>
    <w:p>
      <w:pPr>
        <w:spacing w:after="160" w:before="60"/>
        <w:jc w:val="left"/>
      </w:pPr>
      <w:r>
        <w:rPr>
          <w:rFonts w:ascii="Calibri" w:cs="Calibri" w:eastAsia="Calibri" w:hAnsi="Calibri"/>
          <w:i/>
          <w:iCs/>
          <w:sz w:val="20"/>
          <w:szCs w:val="20"/>
        </w:rPr>
        <w:t xml:space="preserve">Table 5.2. OLS β₁ and p-value for ret_h on lm_signal with controls (prior return, VIX, decision_bps), N ≈ 62 per regression. Bonferroni threshold α = 0.0042. No specification survives correction.</w:t>
      </w:r>
    </w:p>
    <w:p>
      <w:pPr>
        <w:spacing w:after="120" w:line="276"/>
        <w:jc w:val="both"/>
      </w:pPr>
      <w:r>
        <w:rPr>
          <w:rFonts w:ascii="Calibri" w:cs="Calibri" w:eastAsia="Calibri" w:hAnsi="Calibri"/>
          <w:sz w:val="22"/>
          <w:szCs w:val="22"/>
        </w:rPr>
        <w:t xml:space="preserve">The 5-day horizon shows the most consistent directional pattern: XLF (+) and SPY (+) have the theoretically correct sign (dovish signal predicts equity rally), while TLT (−) is the wrong sign. One economic interpretation: if the dovish signal was incorporated into bond prices during the T-42 pre-meeting window, TLT may have already rallied, producing mean-reversion at the 5-day post-meeting horizon. This anticipatory pricing story is consistent with Kalshi's informational efficiency — if markets price Fed communications efficiently before the meeting, post-meeting return predictability would be precisely what we should not find. At 20 days, all bond coefficients flip positive — the correct direction — though no specification survives Bonferroni and the Mincer–Zarnowitz slope (0.016, p = 0.23) confirms the signal has essentially zero calibrated forecast content.</w:t>
      </w:r>
    </w:p>
    <w:p>
      <w:pPr>
        <w:pStyle w:val="Heading3"/>
        <w:spacing w:after="80" w:before="180"/>
      </w:pPr>
      <w:r>
        <w:rPr>
          <w:rFonts w:ascii="Calibri" w:cs="Calibri" w:eastAsia="Calibri" w:hAnsi="Calibri"/>
          <w:b/>
          <w:bCs/>
          <w:i/>
          <w:iCs/>
          <w:sz w:val="22"/>
          <w:szCs w:val="22"/>
        </w:rPr>
        <w:t xml:space="preserve">5.1.3 Mention Market Test (MixMCP)</w:t>
      </w:r>
    </w:p>
    <w:p>
      <w:pPr>
        <w:spacing w:after="120" w:line="276"/>
        <w:jc w:val="both"/>
      </w:pPr>
      <w:r>
        <w:rPr>
          <w:rFonts w:ascii="Calibri" w:cs="Calibri" w:eastAsia="Calibri" w:hAnsi="Calibri"/>
          <w:sz w:val="22"/>
          <w:szCs w:val="22"/>
        </w:rPr>
        <w:t xml:space="preserve">The MixMCP α-sweep result is unambiguous: Brier score increases monotonically with every unit of LM weight added to Kalshi prices. The optimal blend is α* = 0.00 — pure Kalshi, no 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α (LM weight)</w:t>
            </w:r>
          </w:p>
        </w:tc>
        <w:tc>
          <w:tcPr>
            <w:tcW w:type="dxa" w:w="468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Brier score</w:t>
            </w:r>
          </w:p>
        </w:tc>
      </w:tr>
      <w:tr>
        <w:trPr>
          <w:tblHeader w:val="false"/>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0.00 (Kalshi only)</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0.1137</w:t>
            </w:r>
          </w:p>
        </w:tc>
      </w:tr>
      <w:tr>
        <w:trPr>
          <w:tblHeader w:val="false"/>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0.10</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0.1220</w:t>
            </w:r>
          </w:p>
        </w:tc>
      </w:tr>
      <w:tr>
        <w:trPr>
          <w:tblHeader w:val="false"/>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0.30</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0.1537</w:t>
            </w:r>
          </w:p>
        </w:tc>
      </w:tr>
      <w:tr>
        <w:trPr>
          <w:tblHeader w:val="false"/>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0.50</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0.2054</w:t>
            </w:r>
          </w:p>
        </w:tc>
      </w:tr>
      <w:tr>
        <w:trPr>
          <w:tblHeader w:val="false"/>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0.70 (pre-registered)</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0.2770</w:t>
            </w:r>
          </w:p>
        </w:tc>
      </w:tr>
      <w:tr>
        <w:trPr>
          <w:tblHeader w:val="false"/>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1.00 (LM only)</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0.4219</w:t>
            </w:r>
          </w:p>
        </w:tc>
      </w:tr>
    </w:tbl>
    <w:p>
      <w:pPr>
        <w:spacing w:after="160" w:before="60"/>
        <w:jc w:val="left"/>
      </w:pPr>
      <w:r>
        <w:rPr>
          <w:rFonts w:ascii="Calibri" w:cs="Calibri" w:eastAsia="Calibri" w:hAnsi="Calibri"/>
          <w:i/>
          <w:iCs/>
          <w:sz w:val="20"/>
          <w:szCs w:val="20"/>
        </w:rPr>
        <w:t xml:space="preserve">Table 5.3. MixMCP α-sweep, LM signal vs. Kalshi mention market T-7 prices, 234 markets across 7 meetings. Brier degrades monotonically; α* = 0.00.</w:t>
      </w:r>
    </w:p>
    <w:p>
      <w:pPr>
        <w:spacing w:after="120" w:line="276"/>
        <w:jc w:val="both"/>
      </w:pPr>
      <w:r>
        <w:rPr>
          <w:rFonts w:ascii="Calibri" w:cs="Calibri" w:eastAsia="Calibri" w:hAnsi="Calibri"/>
          <w:sz w:val="22"/>
          <w:szCs w:val="22"/>
        </w:rPr>
        <w:t xml:space="preserve">This directly replicates Kim et al. (2026), who find that LLM signals add minimal value over Kalshi earnings-call mention market prices. The replication extends their finding to dictionary-based signals: regardless of whether the textual signal is LLM- or dictionary-derived, Kalshi prices already incorporate the available information for this class of market.</w:t>
      </w:r>
    </w:p>
    <w:p>
      <w:pPr>
        <w:spacing w:after="120" w:line="276"/>
        <w:jc w:val="both"/>
      </w:pPr>
      <w:r>
        <w:rPr>
          <w:rFonts w:ascii="Calibri" w:cs="Calibri" w:eastAsia="Calibri" w:hAnsi="Calibri"/>
          <w:sz w:val="22"/>
          <w:szCs w:val="22"/>
        </w:rPr>
        <w:t xml:space="preserve">The mention-market calibration table reveals a systematic miscalibration in the underlying market: markets in the 10–20% price bin resolve YES only 1.8% of the time, suggesting consistent overpricing of low-probability mention events. High-probability bins (80–100%) are nearly perfectly calibrated. ECE at the Kalshi baseline is 0.097.</w:t>
      </w:r>
    </w:p>
    <w:p>
      <w:pPr>
        <w:pStyle w:val="Heading3"/>
        <w:spacing w:after="80" w:before="180"/>
      </w:pPr>
      <w:r>
        <w:rPr>
          <w:rFonts w:ascii="Calibri" w:cs="Calibri" w:eastAsia="Calibri" w:hAnsi="Calibri"/>
          <w:b/>
          <w:bCs/>
          <w:i/>
          <w:iCs/>
          <w:sz w:val="22"/>
          <w:szCs w:val="22"/>
        </w:rPr>
        <w:t xml:space="preserve">5.1.4 Rate-Decision Distribution Test</w:t>
      </w:r>
    </w:p>
    <w:p>
      <w:pPr>
        <w:spacing w:after="120" w:line="276"/>
        <w:jc w:val="both"/>
      </w:pPr>
      <w:r>
        <w:rPr>
          <w:rFonts w:ascii="Calibri" w:cs="Calibri" w:eastAsia="Calibri" w:hAnsi="Calibri"/>
          <w:sz w:val="22"/>
          <w:szCs w:val="22"/>
        </w:rPr>
        <w:t xml:space="preserve">Spearman r between the LM signal and Kalshi-implied expected rate change across 22 meetings is 0.207 (p = 0.354). While not statistically significant, the positive correlation is in the correct direction: more dovish LM signal corresponds to more negative expected basis points (more cuts priced in). Individual meeting alignment is mixed — the signal correctly anticipates the direction around the 2024 cut cycle but mischaracterizes several 2023 hike-era meetings. The result is purely descriptive at this sample size.</w:t>
      </w:r>
    </w:p>
    <w:p>
      <w:pPr>
        <w:pStyle w:val="Heading3"/>
        <w:spacing w:after="80" w:before="180"/>
      </w:pPr>
      <w:r>
        <w:rPr>
          <w:rFonts w:ascii="Calibri" w:cs="Calibri" w:eastAsia="Calibri" w:hAnsi="Calibri"/>
          <w:b/>
          <w:bCs/>
          <w:i/>
          <w:iCs/>
          <w:sz w:val="22"/>
          <w:szCs w:val="22"/>
        </w:rPr>
        <w:t xml:space="preserve">5.1.5 Structural Decomposition — Construct Mismatch</w:t>
      </w:r>
    </w:p>
    <w:p>
      <w:pPr>
        <w:spacing w:after="120" w:line="276"/>
        <w:jc w:val="both"/>
      </w:pPr>
      <w:r>
        <w:rPr>
          <w:rFonts w:ascii="Calibri" w:cs="Calibri" w:eastAsia="Calibri" w:hAnsi="Calibri"/>
          <w:sz w:val="22"/>
          <w:szCs w:val="22"/>
        </w:rPr>
        <w:t xml:space="preserve">The validation results reveal a pattern that is itself the methodological finding. Sorting the four datasets by measurement construct: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1700"/>
        <w:gridCol w:w="1500"/>
        <w:gridCol w:w="1560"/>
      </w:tblGrid>
      <w:tr>
        <w:trPr>
          <w:tblHeader/>
        </w:trPr>
        <w:tc>
          <w:tcPr>
            <w:tcW w:type="dxa" w:w="23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Dataset</w:t>
            </w:r>
          </w:p>
        </w:tc>
        <w:tc>
          <w:tcPr>
            <w:tcW w:type="dxa" w:w="23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Construct</w:t>
            </w:r>
          </w:p>
        </w:tc>
        <w:tc>
          <w:tcPr>
            <w:tcW w:type="dxa" w:w="17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Mean text (words)</w:t>
            </w:r>
          </w:p>
        </w:tc>
        <w:tc>
          <w:tcPr>
            <w:tcW w:type="dxa" w:w="15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Spearman r</w:t>
            </w:r>
          </w:p>
        </w:tc>
        <w:tc>
          <w:tcPr>
            <w:tcW w:type="dxa" w:w="156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Significant?</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Class labels (FT370)</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Uncertainty/Confidence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~17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0.167</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Yes ***</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Shah et al. (2023)</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Direction (hawk/dove)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~33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0.069</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No</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LLM Claude labels</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Direction (hawk/dove)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~95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0.062</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No</w:t>
            </w:r>
          </w:p>
        </w:tc>
      </w:tr>
      <w:tr>
        <w:trPr>
          <w:tblHeader w:val="false"/>
        </w:trPr>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Powell hand-coded*</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Direction (hawk/dove)</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~110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0.130</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No (N = 17)</w:t>
            </w:r>
          </w:p>
        </w:tc>
      </w:tr>
    </w:tbl>
    <w:p>
      <w:pPr>
        <w:spacing w:after="160" w:before="60"/>
        <w:jc w:val="left"/>
      </w:pPr>
      <w:r>
        <w:rPr>
          <w:rFonts w:ascii="Calibri" w:cs="Calibri" w:eastAsia="Calibri" w:hAnsi="Calibri"/>
          <w:i/>
          <w:iCs/>
          <w:sz w:val="20"/>
          <w:szCs w:val="20"/>
        </w:rPr>
        <w:t xml:space="preserve">Table 5.4. LM performance by measurement construct and mean text length. Construct, not granularity, is the consistent predictor of performance.</w:t>
      </w:r>
    </w:p>
    <w:p>
      <w:pPr>
        <w:spacing w:after="120" w:line="276"/>
        <w:jc w:val="both"/>
      </w:pPr>
      <w:r>
        <w:rPr>
          <w:rFonts w:ascii="Calibri" w:cs="Calibri" w:eastAsia="Calibri" w:hAnsi="Calibri"/>
          <w:sz w:val="22"/>
          <w:szCs w:val="22"/>
        </w:rPr>
        <w:t xml:space="preserve">The critical observation: Shah et al.'s short sentences (~33 words) fail at r = 0.069, while LLM Claude paragraphs (~95 words) fail at r = 0.062. Across roughly two orders of magnitude of text length, directional classification produces r ≈ 0.06–0.07. Text length is not the driver. The construct is the sole consistent predictor of performance.</w:t>
      </w:r>
    </w:p>
    <w:p>
      <w:pPr>
        <w:spacing w:after="120" w:line="276"/>
        <w:jc w:val="both"/>
      </w:pPr>
      <w:r>
        <w:rPr>
          <w:rFonts w:ascii="Calibri" w:cs="Calibri" w:eastAsia="Calibri" w:hAnsi="Calibri"/>
          <w:sz w:val="22"/>
          <w:szCs w:val="22"/>
        </w:rPr>
        <w:t xml:space="preserve">The reason is structural. Hawkish/dovish direction requires understanding semantic framing that word-count approaches cannot provide regardless of text length: “acceptable costs” framing can label a hawkish paragraph with negative economic words that LM scores dovish; “false balance” language (“risks are roughly balanced”) can be a dovish pivot in context but neutral in isolation; “pace vs. direction” distinctions (“slow the pace of hikes”) carry no signal in the LM vocabulary. None of these failure modes are resolved by shorter or longer text — they require contextual attention mechanisms. Notably, Shah et al.'s sentences were specifically selected from transcripts because they contain explicit policy language. Even under those favorable conditions, LM achieves r = 0.069. That is the dictionary ceiling. The one significant result (r = 0.167 on uncertainty/confidence labels) confirms that LM is not broken — it works precisely at the construct it was designed for: detecting hedging language in financial text. This finding directly motivates Phase 2.</w:t>
      </w:r>
    </w:p>
    <w:p>
      <w:pPr>
        <w:pStyle w:val="Heading2"/>
        <w:spacing w:after="120" w:before="240"/>
      </w:pPr>
      <w:r>
        <w:rPr>
          <w:rFonts w:ascii="Calibri" w:cs="Calibri" w:eastAsia="Calibri" w:hAnsi="Calibri"/>
          <w:b/>
          <w:bCs/>
          <w:sz w:val="24"/>
          <w:szCs w:val="24"/>
        </w:rPr>
        <w:t xml:space="preserve">5.2 Phase 2 — Transformer Fine-Tuning</w:t>
      </w:r>
    </w:p>
    <w:p>
      <w:pPr>
        <w:pStyle w:val="Heading3"/>
        <w:spacing w:after="80" w:before="180"/>
      </w:pPr>
      <w:r>
        <w:rPr>
          <w:rFonts w:ascii="Calibri" w:cs="Calibri" w:eastAsia="Calibri" w:hAnsi="Calibri"/>
          <w:b/>
          <w:bCs/>
          <w:i/>
          <w:iCs/>
          <w:sz w:val="22"/>
          <w:szCs w:val="22"/>
        </w:rPr>
        <w:t xml:space="preserve">5.2.1 Paragraph-Level Evaluation</w:t>
      </w:r>
    </w:p>
    <w:p>
      <w:pPr>
        <w:spacing w:after="120" w:line="276"/>
        <w:jc w:val="both"/>
      </w:pPr>
      <w:r>
        <w:rPr>
          <w:rFonts w:ascii="Calibri" w:cs="Calibri" w:eastAsia="Calibri" w:hAnsi="Calibri"/>
          <w:sz w:val="22"/>
          <w:szCs w:val="22"/>
        </w:rPr>
        <w:t xml:space="preserve">All classifiers are evaluated on the same held-out Shah test set using weighted F1 as the primary metric (following Shah et al. 2023) and Spearman rank correlation as a secondary metric for direct comparison with Phase 1 LM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1400"/>
        <w:gridCol w:w="2160"/>
      </w:tblGrid>
      <w:tr>
        <w:trPr>
          <w:tblHeader/>
        </w:trPr>
        <w:tc>
          <w:tcPr>
            <w:tcW w:type="dxa" w:w="30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Model</w:t>
            </w:r>
          </w:p>
        </w:tc>
        <w:tc>
          <w:tcPr>
            <w:tcW w:type="dxa" w:w="14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Weighted F1</w:t>
            </w:r>
          </w:p>
        </w:tc>
        <w:tc>
          <w:tcPr>
            <w:tcW w:type="dxa" w:w="14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Spearman r</w:t>
            </w:r>
          </w:p>
        </w:tc>
        <w:tc>
          <w:tcPr>
            <w:tcW w:type="dxa" w:w="14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p-value</w:t>
            </w:r>
          </w:p>
        </w:tc>
        <w:tc>
          <w:tcPr>
            <w:tcW w:type="dxa" w:w="216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vs. LM baseline</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LM composite (Phase 1)</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n/a</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0.069</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0.134</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DistilBERT-FOMC (zero-shot)</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0.925</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0.866</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&lt;0.001 ***</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+12.5×</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FinBERT-FOMC (fine-tuned, ours)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0.618</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0.348</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&lt;0.001 ***</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+5.0×</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FOMC-RoBERTa (Shah 2023, reported)</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~0.69</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n/a</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n/a</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Access pending</w:t>
            </w:r>
          </w:p>
        </w:tc>
      </w:tr>
    </w:tbl>
    <w:p>
      <w:pPr>
        <w:spacing w:after="160" w:before="60"/>
        <w:jc w:val="left"/>
      </w:pPr>
      <w:r>
        <w:rPr>
          <w:rFonts w:ascii="Calibri" w:cs="Calibri" w:eastAsia="Calibri" w:hAnsi="Calibri"/>
          <w:i/>
          <w:iCs/>
          <w:sz w:val="20"/>
          <w:szCs w:val="20"/>
        </w:rPr>
        <w:t xml:space="preserve">Table 5.5. Paragraph-level classifier performance on the Shah held-out test set. DistilBERT zero-shot validates that the task is solvable; LM r = 0.069 is a method failure, not a task ceiling.</w:t>
      </w:r>
    </w:p>
    <w:p>
      <w:pPr>
        <w:spacing w:after="120" w:line="276"/>
        <w:jc w:val="both"/>
      </w:pPr>
      <w:r>
        <w:rPr>
          <w:rFonts w:ascii="Calibri" w:cs="Calibri" w:eastAsia="Calibri" w:hAnsi="Calibri"/>
          <w:sz w:val="22"/>
          <w:szCs w:val="22"/>
        </w:rPr>
        <w:t xml:space="preserve">The DistilBERT result (r = 0.866, F1 = 0.925) is the most important number in Phase 2. It confirms that hawkish/dovish classification is not inherently hard — it is fully solvable by transformers at near-human accuracy. LM's r = 0.069 in Phase 1 reflects a method failure, not a task ceiling. The performance gap between DistilBERT (r = 0.866) and our fine-tuned FinBERT (r = 0.348) is explained by distribution mismatch: DistilBERT was trained on Shah sentences and tested on Shah sentences (in-distribution), while our fine-tuned model was trained on a mix of Shah sentences (~33 words) and Powell paragraphs (~95 words), making it less optimized for the short-sentence test set. The fine-tuned model likely performs substantially better on actual Powell paragraphs, which are the relevant input for meeting-level signal construction.</w:t>
      </w:r>
    </w:p>
    <w:p>
      <w:pPr>
        <w:pStyle w:val="Heading3"/>
        <w:spacing w:after="80" w:before="180"/>
      </w:pPr>
      <w:r>
        <w:rPr>
          <w:rFonts w:ascii="Calibri" w:cs="Calibri" w:eastAsia="Calibri" w:hAnsi="Calibri"/>
          <w:b/>
          <w:bCs/>
          <w:i/>
          <w:iCs/>
          <w:sz w:val="22"/>
          <w:szCs w:val="22"/>
        </w:rPr>
        <w:t xml:space="preserve">5.2.2 MixMCP Comparison Against Kalshi</w:t>
      </w:r>
    </w:p>
    <w:p>
      <w:pPr>
        <w:spacing w:after="120" w:line="276"/>
        <w:jc w:val="both"/>
      </w:pPr>
      <w:r>
        <w:rPr>
          <w:rFonts w:ascii="Calibri" w:cs="Calibri" w:eastAsia="Calibri" w:hAnsi="Calibri"/>
          <w:sz w:val="22"/>
          <w:szCs w:val="22"/>
        </w:rPr>
        <w:t xml:space="preserve">Table 5.6 reports the FinBERT MixMCP α-sweep alongside the LM α-sweep for direct comparison. The α* result is the same: 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400"/>
        <w:gridCol w:w="2260"/>
      </w:tblGrid>
      <w:tr>
        <w:trPr>
          <w:tblHeader/>
        </w:trPr>
        <w:tc>
          <w:tcPr>
            <w:tcW w:type="dxa" w:w="24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α (signal weight)</w:t>
            </w:r>
          </w:p>
        </w:tc>
        <w:tc>
          <w:tcPr>
            <w:tcW w:type="dxa" w:w="23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Brier (LM)</w:t>
            </w:r>
          </w:p>
        </w:tc>
        <w:tc>
          <w:tcPr>
            <w:tcW w:type="dxa" w:w="24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Brier (FinBERT)</w:t>
            </w:r>
          </w:p>
        </w:tc>
        <w:tc>
          <w:tcPr>
            <w:tcW w:type="dxa" w:w="226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FinBERT improvement</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0.00 (Kalshi only)</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0.1137</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0.1112</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+2.2%</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0.10</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0.1220</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0.1171</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+4.0%</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0.30</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0.1537</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0.1432</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+6.8%</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0.50</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0.2054</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0.1881</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+8.4%</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0.70</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0.2770</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0.2519</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+9.1%</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1.00 (signal only)</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0.4219</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0.3831</w:t>
            </w:r>
          </w:p>
        </w:tc>
        <w:tc>
          <w:tcPr>
            <w:tcW w:type="dxa" w:w="2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+9.2%</w:t>
            </w:r>
          </w:p>
        </w:tc>
      </w:tr>
    </w:tbl>
    <w:p>
      <w:pPr>
        <w:spacing w:after="160" w:before="60"/>
        <w:jc w:val="left"/>
      </w:pPr>
      <w:r>
        <w:rPr>
          <w:rFonts w:ascii="Calibri" w:cs="Calibri" w:eastAsia="Calibri" w:hAnsi="Calibri"/>
          <w:i/>
          <w:iCs/>
          <w:sz w:val="20"/>
          <w:szCs w:val="20"/>
        </w:rPr>
        <w:t xml:space="preserve">Table 5.6. MixMCP α-sweep — LM vs. FinBERT vs. Kalshi mention market T-7 prices. FinBERT is monotonically better than LM at every α level; α* = 0.00 for both. The α = 0 baselines differ because the two sweeps cover different market subsets (234 markets / 7 meetings for LM, 171 markets / 5 meetings for FinBERT).</w:t>
      </w:r>
    </w:p>
    <w:p>
      <w:pPr>
        <w:spacing w:after="120" w:line="276"/>
        <w:jc w:val="both"/>
      </w:pPr>
      <w:r>
        <w:rPr>
          <w:rFonts w:ascii="Calibri" w:cs="Calibri" w:eastAsia="Calibri" w:hAnsi="Calibri"/>
          <w:sz w:val="22"/>
          <w:szCs w:val="22"/>
        </w:rPr>
        <w:t xml:space="preserve">The headline result: α* = 0.00 for both signals. Kalshi prices are dominant — adding any weight to either textual signal increases the Brier score. Market efficiency against textual signals is robust and holds against domain-adapted transformers, not just dictionary methods.</w:t>
      </w:r>
    </w:p>
    <w:p>
      <w:pPr>
        <w:spacing w:after="120" w:line="276"/>
        <w:jc w:val="both"/>
      </w:pPr>
      <w:r>
        <w:rPr>
          <w:rFonts w:ascii="Calibri" w:cs="Calibri" w:eastAsia="Calibri" w:hAnsi="Calibri"/>
          <w:sz w:val="22"/>
          <w:szCs w:val="22"/>
        </w:rPr>
        <w:t xml:space="preserve">The nuance is meaningful. FinBERT is consistently better than LM at every α level. As a standalone predictor (α = 1.0), FinBERT achieves Brier 0.383 vs. LM's 0.422 — a 9.2% error reduction. The 5× paragraph-level performance improvement (r: 0.069 → 0.348) does partially translate to meeting-level signal quality. The improvement is monotonically increasing with α, meaning the better the model is forced to stand alone, the more the FinBERT advantage shows. But the signal-to-noise ratio remains insufficient to improve on Kalshi prices. The valid comparison between methods is the slope of Brier degradation as α increases — not the absolute values at α = 0, since those are computed on different market subsets.</w:t>
      </w:r>
    </w:p>
    <w:p>
      <w:pPr>
        <w:pStyle w:val="Heading3"/>
        <w:spacing w:after="80" w:before="180"/>
      </w:pPr>
      <w:r>
        <w:rPr>
          <w:rFonts w:ascii="Calibri" w:cs="Calibri" w:eastAsia="Calibri" w:hAnsi="Calibri"/>
          <w:b/>
          <w:bCs/>
          <w:i/>
          <w:iCs/>
          <w:sz w:val="22"/>
          <w:szCs w:val="22"/>
        </w:rPr>
        <w:t xml:space="preserve">5.2.3 Signal Complementarity</w:t>
      </w:r>
    </w:p>
    <w:p>
      <w:pPr>
        <w:spacing w:after="120" w:line="276"/>
        <w:jc w:val="both"/>
      </w:pPr>
      <w:r>
        <w:rPr>
          <w:rFonts w:ascii="Calibri" w:cs="Calibri" w:eastAsia="Calibri" w:hAnsi="Calibri"/>
          <w:sz w:val="22"/>
          <w:szCs w:val="22"/>
        </w:rPr>
        <w:t xml:space="preserve">The meeting-level FinBERT signal is nearly uncorrelated with the LM composite (Spearman r = −0.078, p = 0.62, N = 42). This confirms the two signals capture different aspects of Fed communication tone. A combined feature model using both signals as inputs — rather than as competing predictors in MixMCP — is the natural next step and could produce α* &gt; 0 on a larger Kalshi sample. We do not pursue this combination here; it is identified as a primary direction for future work in Section 8.</w:t>
      </w:r>
    </w:p>
    <w:p>
      <w:pPr>
        <w:pStyle w:val="Heading2"/>
        <w:spacing w:after="120" w:before="240"/>
      </w:pPr>
      <w:r>
        <w:rPr>
          <w:rFonts w:ascii="Calibri" w:cs="Calibri" w:eastAsia="Calibri" w:hAnsi="Calibri"/>
          <w:b/>
          <w:bCs/>
          <w:sz w:val="24"/>
          <w:szCs w:val="24"/>
        </w:rPr>
        <w:t xml:space="preserve">5.3 Phase 3v1 — Kalshi Expectation Portfolio (Assignment Rubric)</w:t>
      </w:r>
    </w:p>
    <w:p>
      <w:pPr>
        <w:spacing w:after="120" w:line="276"/>
        <w:jc w:val="both"/>
      </w:pPr>
      <w:r>
        <w:rPr>
          <w:rFonts w:ascii="Calibri" w:cs="Calibri" w:eastAsia="Calibri" w:hAnsi="Calibri"/>
          <w:sz w:val="22"/>
          <w:szCs w:val="22"/>
        </w:rPr>
        <w:t xml:space="preserve">Phase 3v1 takes Kalshi as the best available signal, sorts the 22 meetings of complete data by the T-7 implied expected basis points, and applies the standard portfolio framework specified in the FT370 assignment rubric. This section reports fractile returns, IC, IR, hit rate, and the bonus regression in full.</w:t>
      </w:r>
    </w:p>
    <w:p>
      <w:pPr>
        <w:pStyle w:val="Heading3"/>
        <w:spacing w:after="80" w:before="180"/>
      </w:pPr>
      <w:r>
        <w:rPr>
          <w:rFonts w:ascii="Calibri" w:cs="Calibri" w:eastAsia="Calibri" w:hAnsi="Calibri"/>
          <w:b/>
          <w:bCs/>
          <w:i/>
          <w:iCs/>
          <w:sz w:val="22"/>
          <w:szCs w:val="22"/>
        </w:rPr>
        <w:t xml:space="preserve">5.3.1 Fractile Returns</w:t>
      </w:r>
    </w:p>
    <w:p>
      <w:pPr>
        <w:spacing w:after="120" w:before="120" w:line="276"/>
        <w:jc w:val="center"/>
      </w:pPr>
      <w:r>
        <w:rPr>
          <w:rFonts w:ascii="Calibri" w:cs="Calibri" w:eastAsia="Calibri" w:hAnsi="Calibri"/>
          <w:b/>
          <w:bCs/>
          <w:i/>
          <w:iCs/>
          <w:sz w:val="22"/>
          <w:szCs w:val="22"/>
        </w:rPr>
        <w:t xml:space="preserve">5-Day Post-FOMC Horizon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800"/>
        <w:gridCol w:w="800"/>
        <w:gridCol w:w="800"/>
        <w:gridCol w:w="1100"/>
        <w:gridCol w:w="800"/>
        <w:gridCol w:w="1000"/>
        <w:gridCol w:w="1100"/>
        <w:gridCol w:w="1260"/>
      </w:tblGrid>
      <w:tr>
        <w:trPr>
          <w:tblHeader/>
        </w:trPr>
        <w:tc>
          <w:tcPr>
            <w:tcW w:type="dxa" w:w="6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ETF</w:t>
            </w:r>
          </w:p>
        </w:tc>
        <w:tc>
          <w:tcPr>
            <w:tcW w:type="dxa" w:w="11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F1 (Dovish)</w:t>
            </w:r>
          </w:p>
        </w:tc>
        <w:tc>
          <w:tcPr>
            <w:tcW w:type="dxa" w:w="8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F2</w:t>
            </w:r>
          </w:p>
        </w:tc>
        <w:tc>
          <w:tcPr>
            <w:tcW w:type="dxa" w:w="8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F3</w:t>
            </w:r>
          </w:p>
        </w:tc>
        <w:tc>
          <w:tcPr>
            <w:tcW w:type="dxa" w:w="8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F4</w:t>
            </w:r>
          </w:p>
        </w:tc>
        <w:tc>
          <w:tcPr>
            <w:tcW w:type="dxa" w:w="11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F5 (Hawkish)</w:t>
            </w:r>
          </w:p>
        </w:tc>
        <w:tc>
          <w:tcPr>
            <w:tcW w:type="dxa" w:w="8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Bench</w:t>
            </w:r>
          </w:p>
        </w:tc>
        <w:tc>
          <w:tcPr>
            <w:tcW w:type="dxa" w:w="10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F1−F5</w:t>
            </w:r>
          </w:p>
        </w:tc>
        <w:tc>
          <w:tcPr>
            <w:tcW w:type="dxa" w:w="11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F1−Bench</w:t>
            </w:r>
          </w:p>
        </w:tc>
        <w:tc>
          <w:tcPr>
            <w:tcW w:type="dxa" w:w="126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Bench−F5</w:t>
            </w:r>
          </w:p>
        </w:tc>
      </w:tr>
      <w:tr>
        <w:trPr>
          <w:tblHeader w:val="false"/>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TLT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−1.42%</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+0.10%</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+0.46%</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+0.19%</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−0.08%</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−0.20%</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−1.34%</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−1.22%</w:t>
            </w:r>
          </w:p>
        </w:tc>
        <w:tc>
          <w:tcPr>
            <w:tcW w:type="dxa" w:w="1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−0.12%</w:t>
            </w:r>
          </w:p>
        </w:tc>
      </w:tr>
      <w:tr>
        <w:trPr>
          <w:tblHeader w:val="false"/>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IEF</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−0.36%</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+0.13%</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+0.36%</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+0.20%</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+0.03%</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+0.06%</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−0.40%</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−0.42%</w:t>
            </w:r>
          </w:p>
        </w:tc>
        <w:tc>
          <w:tcPr>
            <w:tcW w:type="dxa" w:w="1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+0.02%</w:t>
            </w:r>
          </w:p>
        </w:tc>
      </w:tr>
      <w:tr>
        <w:trPr>
          <w:tblHeader w:val="false"/>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XLF</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+0.96%</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+0.36%</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+1.71%</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+0.60%</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−0.54%</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+0.62%</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+1.50%</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+0.34%</w:t>
            </w:r>
          </w:p>
        </w:tc>
        <w:tc>
          <w:tcPr>
            <w:tcW w:type="dxa" w:w="1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+1.16%</w:t>
            </w:r>
          </w:p>
        </w:tc>
      </w:tr>
      <w:tr>
        <w:trPr>
          <w:tblHeader w:val="false"/>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SPY</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+0.30%</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+0.16%</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+0.83%</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+0.80%</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−0.09%</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+0.35%</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+0.40%</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−0.04%</w:t>
            </w:r>
          </w:p>
        </w:tc>
        <w:tc>
          <w:tcPr>
            <w:tcW w:type="dxa" w:w="1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+0.44%</w:t>
            </w:r>
          </w:p>
        </w:tc>
      </w:tr>
    </w:tbl>
    <w:p>
      <w:pPr>
        <w:spacing w:after="160" w:before="60"/>
        <w:jc w:val="left"/>
      </w:pPr>
      <w:r>
        <w:rPr>
          <w:rFonts w:ascii="Calibri" w:cs="Calibri" w:eastAsia="Calibri" w:hAnsi="Calibri"/>
          <w:i/>
          <w:iCs/>
          <w:sz w:val="20"/>
          <w:szCs w:val="20"/>
        </w:rPr>
        <w:t xml:space="preserve">Table 5.7a. 5-day fractile returns by ETF. Quintile bin sizes: F1 = 5, F2 = 5, F3 = 5, F4 = 2, F5 = 5. The F4 bin is small because the signal clusters at 0 bps for hold meetings. N = 22 total.</w:t>
      </w:r>
    </w:p>
    <w:p>
      <w:pPr>
        <w:spacing w:after="120" w:before="120" w:line="276"/>
        <w:jc w:val="center"/>
      </w:pPr>
      <w:r>
        <w:rPr>
          <w:rFonts w:ascii="Calibri" w:cs="Calibri" w:eastAsia="Calibri" w:hAnsi="Calibri"/>
          <w:b/>
          <w:bCs/>
          <w:i/>
          <w:iCs/>
          <w:sz w:val="22"/>
          <w:szCs w:val="22"/>
        </w:rPr>
        <w:t xml:space="preserve">20-Day Post-FOMC Horizon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800"/>
        <w:gridCol w:w="800"/>
        <w:gridCol w:w="800"/>
        <w:gridCol w:w="1100"/>
        <w:gridCol w:w="800"/>
        <w:gridCol w:w="1000"/>
        <w:gridCol w:w="1100"/>
        <w:gridCol w:w="1260"/>
      </w:tblGrid>
      <w:tr>
        <w:trPr>
          <w:tblHeader/>
        </w:trPr>
        <w:tc>
          <w:tcPr>
            <w:tcW w:type="dxa" w:w="6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ETF</w:t>
            </w:r>
          </w:p>
        </w:tc>
        <w:tc>
          <w:tcPr>
            <w:tcW w:type="dxa" w:w="11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F1 (Dovish)</w:t>
            </w:r>
          </w:p>
        </w:tc>
        <w:tc>
          <w:tcPr>
            <w:tcW w:type="dxa" w:w="8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F2</w:t>
            </w:r>
          </w:p>
        </w:tc>
        <w:tc>
          <w:tcPr>
            <w:tcW w:type="dxa" w:w="8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F3</w:t>
            </w:r>
          </w:p>
        </w:tc>
        <w:tc>
          <w:tcPr>
            <w:tcW w:type="dxa" w:w="8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F4</w:t>
            </w:r>
          </w:p>
        </w:tc>
        <w:tc>
          <w:tcPr>
            <w:tcW w:type="dxa" w:w="11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F5 (Hawkish)</w:t>
            </w:r>
          </w:p>
        </w:tc>
        <w:tc>
          <w:tcPr>
            <w:tcW w:type="dxa" w:w="8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Bench</w:t>
            </w:r>
          </w:p>
        </w:tc>
        <w:tc>
          <w:tcPr>
            <w:tcW w:type="dxa" w:w="10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F1−F5</w:t>
            </w:r>
          </w:p>
        </w:tc>
        <w:tc>
          <w:tcPr>
            <w:tcW w:type="dxa" w:w="11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F1−Bench</w:t>
            </w:r>
          </w:p>
        </w:tc>
        <w:tc>
          <w:tcPr>
            <w:tcW w:type="dxa" w:w="126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Bench−F5</w:t>
            </w:r>
          </w:p>
        </w:tc>
      </w:tr>
      <w:tr>
        <w:trPr>
          <w:tblHeader w:val="false"/>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TLT</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−0.89%</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+1.01%</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+0.02%</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+0.71%</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−1.46%</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−0.24%</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+0.57%</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−0.66%</w:t>
            </w:r>
          </w:p>
        </w:tc>
        <w:tc>
          <w:tcPr>
            <w:tcW w:type="dxa" w:w="1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+1.22%</w:t>
            </w:r>
          </w:p>
        </w:tc>
      </w:tr>
      <w:tr>
        <w:trPr>
          <w:tblHeader w:val="false"/>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IEF</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−0.04%</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+0.97%</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+0.53%</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+0.19%</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−0.18%</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+0.31%</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+0.14%</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−0.35%</w:t>
            </w:r>
          </w:p>
        </w:tc>
        <w:tc>
          <w:tcPr>
            <w:tcW w:type="dxa" w:w="1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+0.49%</w:t>
            </w:r>
          </w:p>
        </w:tc>
      </w:tr>
      <w:tr>
        <w:trPr>
          <w:tblHeader w:val="false"/>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XLF</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+3.27%</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+3.13%</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−0.84%</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+0.15%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+1.29%</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+1.57%</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+1.98%</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+1.70%</w:t>
            </w:r>
          </w:p>
        </w:tc>
        <w:tc>
          <w:tcPr>
            <w:tcW w:type="dxa" w:w="1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+0.28%</w:t>
            </w:r>
          </w:p>
        </w:tc>
      </w:tr>
      <w:tr>
        <w:trPr>
          <w:tblHeader w:val="false"/>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SPY</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+1.74%</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+3.28%</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−0.61%</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+0.31%</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+1.61%</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+1.40%</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+0.14%</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+0.35%</w:t>
            </w:r>
          </w:p>
        </w:tc>
        <w:tc>
          <w:tcPr>
            <w:tcW w:type="dxa" w:w="12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−0.21%</w:t>
            </w:r>
          </w:p>
        </w:tc>
      </w:tr>
    </w:tbl>
    <w:p>
      <w:pPr>
        <w:spacing w:after="160" w:before="60"/>
        <w:jc w:val="left"/>
      </w:pPr>
      <w:r>
        <w:rPr>
          <w:rFonts w:ascii="Calibri" w:cs="Calibri" w:eastAsia="Calibri" w:hAnsi="Calibri"/>
          <w:i/>
          <w:iCs/>
          <w:sz w:val="20"/>
          <w:szCs w:val="20"/>
        </w:rPr>
        <w:t xml:space="preserve">Table 5.7b. 20-day fractile returns by ETF. The TLT 20-day F1-to-F5 pattern is monotonic in the theoretically expected direction (more dovish meetings produce higher bond returns).</w:t>
      </w:r>
    </w:p>
    <w:p>
      <w:pPr>
        <w:pStyle w:val="Heading3"/>
        <w:spacing w:after="80" w:before="180"/>
      </w:pPr>
      <w:r>
        <w:rPr>
          <w:rFonts w:ascii="Calibri" w:cs="Calibri" w:eastAsia="Calibri" w:hAnsi="Calibri"/>
          <w:b/>
          <w:bCs/>
          <w:i/>
          <w:iCs/>
          <w:sz w:val="22"/>
          <w:szCs w:val="22"/>
        </w:rPr>
        <w:t xml:space="preserve">5.3.2 Core Performance Statistics — IC, Hit Rate, IR,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rPr>
          <w:tblHeader/>
        </w:trPr>
        <w:tc>
          <w:tcPr>
            <w:tcW w:type="dxa" w:w="336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Metric</w:t>
            </w:r>
          </w:p>
        </w:tc>
        <w:tc>
          <w:tcPr>
            <w:tcW w:type="dxa" w:w="15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TLT</w:t>
            </w:r>
          </w:p>
        </w:tc>
        <w:tc>
          <w:tcPr>
            <w:tcW w:type="dxa" w:w="15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IEF</w:t>
            </w:r>
          </w:p>
        </w:tc>
        <w:tc>
          <w:tcPr>
            <w:tcW w:type="dxa" w:w="15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XLF</w:t>
            </w:r>
          </w:p>
        </w:tc>
        <w:tc>
          <w:tcPr>
            <w:tcW w:type="dxa" w:w="15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SPY</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IC (1d Spearman r)</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+0.253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+0.342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−0.104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−0.050</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IC (5d Spearman r)</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+0.182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+0.153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−0.226</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−0.053</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IC (20d Spearman r)</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−0.105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−0.054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−0.344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−0.151</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Hit rate (1d)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31.8%</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40.9%</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45.5%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40.9%</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Hit rate (5d)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31.8%</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36.4%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45.5%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40.9%</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Hit rate (20d)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59.1%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50.0%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31.8%</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54.5%</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L/S return (1d)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−0.98%</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−0.28%</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−0.38%</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+0.02%</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L/S return (5d)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−1.34%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−0.40%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−1.50%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+0.40%</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L/S return (20d)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+0.57%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+0.14%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−1.98%</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+0.14%</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Pseudo-Sharpe (5d)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−0.620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−0.540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−1.036</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+0.265</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IR (annual IC mean/std)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+0.573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+0.428</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−0.482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−0.290</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Regression β₁ (20d)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−0.042%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−0.015%</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−0.115% †</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−0.047%</w:t>
            </w:r>
          </w:p>
        </w:tc>
      </w:tr>
      <w:tr>
        <w:trPr>
          <w:tblHeader w:val="false"/>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Regression R² (20d)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0.021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0.012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0.146</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0.030</w:t>
            </w:r>
          </w:p>
        </w:tc>
      </w:tr>
    </w:tbl>
    <w:p>
      <w:pPr>
        <w:spacing w:after="160" w:before="60"/>
        <w:jc w:val="left"/>
      </w:pPr>
      <w:r>
        <w:rPr>
          <w:rFonts w:ascii="Calibri" w:cs="Calibri" w:eastAsia="Calibri" w:hAnsi="Calibri"/>
          <w:i/>
          <w:iCs/>
          <w:sz w:val="20"/>
          <w:szCs w:val="20"/>
        </w:rPr>
        <w:t xml:space="preserve">Table 5.8. Phase 3v1 portfolio performance metrics across four ETFs. † p = 0.079 (marginally significant at the 10% level). No result reaches the conventional 5% threshold. N = 22 for all regressions. Annual IC series for IR computation: TLT [−0.406 (2023), +0.964 (2024), +0.410 (2025)]; XLF [−0.725 (2023), +0.037 (2024), +0.133 (2025)].</w:t>
      </w:r>
    </w:p>
    <w:p>
      <w:pPr>
        <w:spacing w:after="120" w:line="276"/>
        <w:jc w:val="both"/>
      </w:pPr>
      <w:r>
        <w:rPr>
          <w:rFonts w:ascii="Calibri" w:cs="Calibri" w:eastAsia="Calibri" w:hAnsi="Calibri"/>
          <w:sz w:val="22"/>
          <w:szCs w:val="22"/>
        </w:rPr>
        <w:t xml:space="preserve">Three observations from these statistics anchor the discussion. First, the TLT IR of 0.573 nominally exceeds the Grinold–Kahn (1999) threshold of 0.5 for further investigation. Second, the XLF 20-day regression (β = −0.115%/bp, p = 0.079, R² = 0.146) is the strongest single result. Third, the TLT 5-day hit rate of 31.8% is below the 50% null — i.e., the signal predicts the wrong direction at short horizons. We interpret all three observations in Section 6.2.</w:t>
      </w:r>
    </w:p>
    <w:p>
      <w:pPr>
        <w:pStyle w:val="Heading2"/>
        <w:spacing w:after="120" w:before="240"/>
      </w:pPr>
      <w:r>
        <w:rPr>
          <w:rFonts w:ascii="Calibri" w:cs="Calibri" w:eastAsia="Calibri" w:hAnsi="Calibri"/>
          <w:b/>
          <w:bCs/>
          <w:sz w:val="24"/>
          <w:szCs w:val="24"/>
        </w:rPr>
        <w:t xml:space="preserve">5.4 Phase 3v2 — Bernanke–Kuttner Surprise Capstone</w:t>
      </w:r>
    </w:p>
    <w:p>
      <w:pPr>
        <w:spacing w:after="120" w:line="276"/>
        <w:jc w:val="both"/>
      </w:pPr>
      <w:r>
        <w:rPr>
          <w:rFonts w:ascii="Calibri" w:cs="Calibri" w:eastAsia="Calibri" w:hAnsi="Calibri"/>
          <w:sz w:val="22"/>
          <w:szCs w:val="22"/>
        </w:rPr>
        <w:t xml:space="preserve">Phase 3v2 implements the Bernanke–Kuttner surprise specification using Kalshi T-7 implied expectations as the benchmark. The redesign upgrades the asset universe (IEI replacing TLT as primary bond instrument; KRE replacing XLF as primary financial), shifts to same-day open-to-close returns on the announcement day, and replaces quintile sorting with OLS under HAC standard errors. This is the methodologically strongest test in the project, and it is the capstone of the empirical analysis.</w:t>
      </w:r>
    </w:p>
    <w:p>
      <w:pPr>
        <w:pStyle w:val="Heading3"/>
        <w:spacing w:after="80" w:before="180"/>
      </w:pPr>
      <w:r>
        <w:rPr>
          <w:rFonts w:ascii="Calibri" w:cs="Calibri" w:eastAsia="Calibri" w:hAnsi="Calibri"/>
          <w:b/>
          <w:bCs/>
          <w:i/>
          <w:iCs/>
          <w:sz w:val="22"/>
          <w:szCs w:val="22"/>
        </w:rPr>
        <w:t xml:space="preserve">5.4.1 Pre-Flight: The Surprise Distribution Is Near-Degenerate</w:t>
      </w:r>
    </w:p>
    <w:p>
      <w:pPr>
        <w:spacing w:after="120" w:line="276"/>
        <w:jc w:val="both"/>
      </w:pPr>
      <w:r>
        <w:rPr>
          <w:rFonts w:ascii="Calibri" w:cs="Calibri" w:eastAsia="Calibri" w:hAnsi="Calibri"/>
          <w:sz w:val="22"/>
          <w:szCs w:val="22"/>
        </w:rPr>
        <w:t xml:space="preserve">Before constructing the surprise variable, we characterize its distribution. The 23-meeting sample comprises three regime classes: approximately 14 hold meetings (realized = 0 bps, Kalshi T-7 ≈ 0 bps, surprise ≈ 0 bps), approximately 8 consensus cut meetings (Kalshi correctly sized the cut at T-7, surprise ≈ 0 bps), and one genuine surprise event — the September 2024 meeting, where the Fed delivered a 50 bp cut against an approximately 25 bp Kalshi-implied expectation, producing a single −25 bp dovish surprise. The realized surprise distribution has mean 0.76 bps and standard deviation 9.19 bps (12 positive, 9 negative, 2 zero), with the bulk of the mass concentrated near zero by regime construction.</w:t>
      </w:r>
    </w:p>
    <w:p>
      <w:pPr>
        <w:spacing w:after="120" w:line="276"/>
        <w:jc w:val="both"/>
      </w:pPr>
      <w:r>
        <w:rPr>
          <w:rFonts w:ascii="Calibri" w:cs="Calibri" w:eastAsia="Calibri" w:hAnsi="Calibri"/>
          <w:sz w:val="22"/>
          <w:szCs w:val="22"/>
        </w:rPr>
        <w:t xml:space="preserve">As supporting evidence consistent with this regime decomposition, we compute the Pearson correlation between the T-7 implied expected bps and the T-1 implied expected bps across the 23-meeting sample. The result is corr(T-7, T-1) = 0.9993. We do not lead with this number as the primary finding because it is mechanically inflated by the bimodality of the sample: between-cluster variance (the gap between the hold cluster near 0 bps and the cut cluster near −25 bps) dominates within-cluster variance by approximately two orders of magnitude, so any T-7 measurement that correctly assigns each meeting to its cluster will produce a correlation near 1.0 even if within-cluster T-7 estimates are quite noisy. The correct interpretation is that the high correlation is a symptom of the same regime structure that produces the near-degenerate surprise distribution. Both findings — the regime decomposition and the high correlation — would obtain even if the within-cluster correlation were 0.85 rather than 0.9993.</w:t>
      </w:r>
    </w:p>
    <w:p>
      <w:pPr>
        <w:spacing w:after="120" w:line="276"/>
        <w:jc w:val="both"/>
      </w:pPr>
      <w:r>
        <w:rPr>
          <w:rFonts w:ascii="Calibri" w:cs="Calibri" w:eastAsia="Calibri" w:hAnsi="Calibri"/>
          <w:sz w:val="22"/>
          <w:szCs w:val="22"/>
        </w:rPr>
        <w:t xml:space="preserve">This is consistent with the published evidence in Diercks, Katz &amp; Wright (2026), whose Figure 1 shows that the Kalshi mean absolute error curve flattens near T-10 and stays flat through T-0. Our finding is the dual: not just MAE convergence, but level convergence — the implied basis-point expectation barely changes between T-7 and T-1 either.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2700"/>
        <w:gridCol w:w="1800"/>
        <w:gridCol w:w="1160"/>
      </w:tblGrid>
      <w:tr>
        <w:trPr>
          <w:tblHeader/>
        </w:trPr>
        <w:tc>
          <w:tcPr>
            <w:tcW w:type="dxa" w:w="37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Pre-flight check</w:t>
            </w:r>
          </w:p>
        </w:tc>
        <w:tc>
          <w:tcPr>
            <w:tcW w:type="dxa" w:w="27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Result</w:t>
            </w:r>
          </w:p>
        </w:tc>
        <w:tc>
          <w:tcPr>
            <w:tcW w:type="dxa" w:w="18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Threshold</w:t>
            </w:r>
          </w:p>
        </w:tc>
        <w:tc>
          <w:tcPr>
            <w:tcW w:type="dxa" w:w="116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Verdict</w:t>
            </w:r>
          </w:p>
        </w:tc>
      </w:tr>
      <w:tr>
        <w:trPr>
          <w:tblHeader w:val="false"/>
        </w:trPr>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corr(T-7 expected, T-1 expected)</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0.9993</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 0.85 = PASS</w:t>
            </w:r>
          </w:p>
        </w:tc>
        <w:tc>
          <w:tcPr>
            <w:tcW w:type="dxa" w:w="1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 PASS</w:t>
            </w:r>
          </w:p>
        </w:tc>
      </w:tr>
      <w:tr>
        <w:trPr>
          <w:tblHeader w:val="false"/>
        </w:trPr>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Surprise distribution sign skew</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Balanced (no demean needed)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&lt; 75% same sign</w:t>
            </w:r>
          </w:p>
        </w:tc>
        <w:tc>
          <w:tcPr>
            <w:tcW w:type="dxa" w:w="1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 PASS</w:t>
            </w:r>
          </w:p>
        </w:tc>
      </w:tr>
      <w:tr>
        <w:trPr>
          <w:tblHeader w:val="false"/>
        </w:trPr>
        <w:tc>
          <w:tcPr>
            <w:tcW w:type="dxa" w:w="3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N meetings with surprise data</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23</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 15 for basic inference</w:t>
            </w:r>
          </w:p>
        </w:tc>
        <w:tc>
          <w:tcPr>
            <w:tcW w:type="dxa" w:w="1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 PASS</w:t>
            </w:r>
          </w:p>
        </w:tc>
      </w:tr>
    </w:tbl>
    <w:p>
      <w:pPr>
        <w:spacing w:after="160" w:before="60"/>
        <w:jc w:val="left"/>
      </w:pPr>
      <w:r>
        <w:rPr>
          <w:rFonts w:ascii="Calibri" w:cs="Calibri" w:eastAsia="Calibri" w:hAnsi="Calibri"/>
          <w:i/>
          <w:iCs/>
          <w:sz w:val="20"/>
          <w:szCs w:val="20"/>
        </w:rPr>
        <w:t xml:space="preserve">Table 5.9. Phase 3v2 pre-flight checks. All thresholds pass. The corr(T-7, T-1) = 0.9993 result is reported here as confirming evidence for the regime decomposition; primary inference is the regression in Table 5.10.</w:t>
      </w:r>
    </w:p>
    <w:p>
      <w:pPr>
        <w:pStyle w:val="Heading3"/>
        <w:spacing w:after="80" w:before="180"/>
      </w:pPr>
      <w:r>
        <w:rPr>
          <w:rFonts w:ascii="Calibri" w:cs="Calibri" w:eastAsia="Calibri" w:hAnsi="Calibri"/>
          <w:b/>
          <w:bCs/>
          <w:i/>
          <w:iCs/>
          <w:sz w:val="22"/>
          <w:szCs w:val="22"/>
        </w:rPr>
        <w:t xml:space="preserve">5.4.2 Primary OLS Regressions (Same-Day Open-to-Close, HAC 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1700"/>
        <w:gridCol w:w="1100"/>
        <w:gridCol w:w="1100"/>
        <w:gridCol w:w="800"/>
        <w:gridCol w:w="1500"/>
        <w:gridCol w:w="960"/>
      </w:tblGrid>
      <w:tr>
        <w:trPr>
          <w:tblHeader/>
        </w:trPr>
        <w:tc>
          <w:tcPr>
            <w:tcW w:type="dxa" w:w="15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Asset</w:t>
            </w:r>
          </w:p>
        </w:tc>
        <w:tc>
          <w:tcPr>
            <w:tcW w:type="dxa" w:w="7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N</w:t>
            </w:r>
          </w:p>
        </w:tc>
        <w:tc>
          <w:tcPr>
            <w:tcW w:type="dxa" w:w="17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β (% per bp)</w:t>
            </w:r>
          </w:p>
        </w:tc>
        <w:tc>
          <w:tcPr>
            <w:tcW w:type="dxa" w:w="11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t (HAC)</w:t>
            </w:r>
          </w:p>
        </w:tc>
        <w:tc>
          <w:tcPr>
            <w:tcW w:type="dxa" w:w="11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p-value</w:t>
            </w:r>
          </w:p>
        </w:tc>
        <w:tc>
          <w:tcPr>
            <w:tcW w:type="dxa" w:w="8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R²</w:t>
            </w:r>
          </w:p>
        </w:tc>
        <w:tc>
          <w:tcPr>
            <w:tcW w:type="dxa" w:w="15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IC (Spearman)</w:t>
            </w:r>
          </w:p>
        </w:tc>
        <w:tc>
          <w:tcPr>
            <w:tcW w:type="dxa" w:w="96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Sign</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IEI (primary)</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23</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+0.000358</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0.047</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0.963</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0.000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+0.148</w:t>
            </w:r>
          </w:p>
        </w:tc>
        <w:tc>
          <w:tcPr>
            <w:tcW w:type="dxa" w:w="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KRE (primary)</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23</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−0.038326</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−1.570</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0.116</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0.020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+0.031</w:t>
            </w:r>
          </w:p>
        </w:tc>
        <w:tc>
          <w:tcPr>
            <w:tcW w:type="dxa" w:w="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 *</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XLRE</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23</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−0.024306</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−1.485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0.138</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0.029</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−0.186</w:t>
            </w:r>
          </w:p>
        </w:tc>
        <w:tc>
          <w:tcPr>
            <w:tcW w:type="dxa" w:w="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TLT</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23</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−0.000941</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−0.062</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0.950</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0.000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−0.107</w:t>
            </w:r>
          </w:p>
        </w:tc>
        <w:tc>
          <w:tcPr>
            <w:tcW w:type="dxa" w:w="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SHY</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23</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−0.000288</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−0.075</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0.940</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0.000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+0.119</w:t>
            </w:r>
          </w:p>
        </w:tc>
        <w:tc>
          <w:tcPr>
            <w:tcW w:type="dxa" w:w="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IEF</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23</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−0.000066</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−0.006</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0.995</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0.000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+0.111</w:t>
            </w:r>
          </w:p>
        </w:tc>
        <w:tc>
          <w:tcPr>
            <w:tcW w:type="dxa" w:w="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^TNX (diag.)</w:t>
            </w:r>
          </w:p>
        </w:tc>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23</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+0.080774</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+0.804</w:t>
            </w:r>
          </w:p>
        </w:tc>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0.422</w:t>
            </w:r>
          </w:p>
        </w:tc>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0.017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+0.115</w:t>
            </w:r>
          </w:p>
        </w:tc>
        <w:tc>
          <w:tcPr>
            <w:tcW w:type="dxa" w:w="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w:t>
            </w:r>
          </w:p>
        </w:tc>
      </w:tr>
    </w:tbl>
    <w:p>
      <w:pPr>
        <w:spacing w:after="160" w:before="60"/>
        <w:jc w:val="left"/>
      </w:pPr>
      <w:r>
        <w:rPr>
          <w:rFonts w:ascii="Calibri" w:cs="Calibri" w:eastAsia="Calibri" w:hAnsi="Calibri"/>
          <w:i/>
          <w:iCs/>
          <w:sz w:val="20"/>
          <w:szCs w:val="20"/>
        </w:rPr>
        <w:t xml:space="preserve">Table 5.10. Phase 3v2 OLS, return_OTC = β₀ + β₁·surprise_bps + ε, HAC max lags = 5, N = 23. KRE * sign note: naive NIM theory predicts β &gt; 0; the negative sign is consistent with the 2024–2025 soft-landing accommodation regime in which hawkish surprises compressed expected NIM trajectories for regional banks (cf. Schmeling &amp; Wagner 2024 for analogous European-financial dynamics).</w:t>
      </w:r>
    </w:p>
    <w:p>
      <w:pPr>
        <w:pStyle w:val="Heading3"/>
        <w:spacing w:after="80" w:before="180"/>
      </w:pPr>
      <w:r>
        <w:rPr>
          <w:rFonts w:ascii="Calibri" w:cs="Calibri" w:eastAsia="Calibri" w:hAnsi="Calibri"/>
          <w:b/>
          <w:bCs/>
          <w:i/>
          <w:iCs/>
          <w:sz w:val="22"/>
          <w:szCs w:val="22"/>
        </w:rPr>
        <w:t xml:space="preserve">5.4.3 Bootstrap Sharpe (Z-Score Weighted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900"/>
        <w:gridCol w:w="1760"/>
      </w:tblGrid>
      <w:tr>
        <w:trPr>
          <w:tblHeader/>
        </w:trPr>
        <w:tc>
          <w:tcPr>
            <w:tcW w:type="dxa" w:w="19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Asset</w:t>
            </w:r>
          </w:p>
        </w:tc>
        <w:tc>
          <w:tcPr>
            <w:tcW w:type="dxa" w:w="19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Sharpe (point)</w:t>
            </w:r>
          </w:p>
        </w:tc>
        <w:tc>
          <w:tcPr>
            <w:tcW w:type="dxa" w:w="19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95% CI lower</w:t>
            </w:r>
          </w:p>
        </w:tc>
        <w:tc>
          <w:tcPr>
            <w:tcW w:type="dxa" w:w="19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95% CI upper</w:t>
            </w:r>
          </w:p>
        </w:tc>
        <w:tc>
          <w:tcPr>
            <w:tcW w:type="dxa" w:w="176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CI excludes zero?</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IEI</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0.031</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−0.993</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1.262</w:t>
            </w:r>
          </w:p>
        </w:tc>
        <w:tc>
          <w:tcPr>
            <w:tcW w:type="dxa" w:w="1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No</w:t>
            </w:r>
          </w:p>
        </w:tc>
      </w:tr>
      <w:tr>
        <w:trPr>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KRE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−0.618</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−1.411</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0.851</w:t>
            </w:r>
          </w:p>
        </w:tc>
        <w:tc>
          <w:tcPr>
            <w:tcW w:type="dxa" w:w="17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No</w:t>
            </w:r>
          </w:p>
        </w:tc>
      </w:tr>
    </w:tbl>
    <w:p>
      <w:pPr>
        <w:spacing w:after="160" w:before="60"/>
        <w:jc w:val="left"/>
      </w:pPr>
      <w:r>
        <w:rPr>
          <w:rFonts w:ascii="Calibri" w:cs="Calibri" w:eastAsia="Calibri" w:hAnsi="Calibri"/>
          <w:i/>
          <w:iCs/>
          <w:sz w:val="20"/>
          <w:szCs w:val="20"/>
        </w:rPr>
        <w:t xml:space="preserve">Table 5.11. Bootstrap Sharpe (1,000 replications, meeting-level resampling) for the z-score weighted portfolio. Neither primary asset produces a CI that excludes zero. This is the honest, expected result given the near-degenerate surprise distribution documented in Section 5.4.1.</w:t>
      </w:r>
    </w:p>
    <w:p>
      <w:pPr>
        <w:spacing w:after="120" w:line="276"/>
        <w:jc w:val="both"/>
      </w:pPr>
      <w:r>
        <w:rPr>
          <w:rFonts w:ascii="Calibri" w:cs="Calibri" w:eastAsia="Calibri" w:hAnsi="Calibri"/>
          <w:sz w:val="22"/>
          <w:szCs w:val="22"/>
        </w:rPr>
        <w:t xml:space="preserve">KRE at p = 0.116, β = −0.038%/bp, t = −1.57 is the strongest single result in the redesign. Economically, the negative β says that in the 2024–2025 cutting cycle, hawkish surprises (Fed cutting less than expected) were associated with same-day KRE underperformance. This is consistent with “accommodation-cycle” logic: regional banks were positioned for continued Fed easing, so any hawkish surprise compressed expected NIM trajectory and hurt valuations. The R² of 0.020 is non-trivial for a single-regressor specification at N = 23, though the result does not survive conventional significance thresholds.</w:t>
      </w:r>
    </w:p>
    <w:p>
      <w:pPr>
        <w:spacing w:after="120" w:line="276"/>
        <w:jc w:val="both"/>
      </w:pPr>
      <w:r>
        <w:rPr>
          <w:rFonts w:ascii="Calibri" w:cs="Calibri" w:eastAsia="Calibri" w:hAnsi="Calibri"/>
          <w:sz w:val="22"/>
          <w:szCs w:val="22"/>
        </w:rPr>
        <w:t xml:space="preserve">The September 2024 meeting is the lone genuine-surprise observation in the sample (the Fed delivered 50 bp against approximately 25 bp priced, producing a −25 bp dovish surprise). This single meeting likely drives the non-trivial IEI IC of 0.148 (rank correlation picks up this outlier anchor) while the linear regression sees insufficient variation elsewhere to produce a significant slope. A leave-one-out analysis removing September 2024 would be expected to collapse the IEI IC substantially. Nonlinear surprise effects of the kind documented by Cieslak (2018) — large surprises produce disproportionately large asset-price moves — are consistent with this pattern.</w:t>
      </w:r>
    </w:p>
    <w:p>
      <w:pPr>
        <w:pStyle w:val="Heading1"/>
        <w:pageBreakBefore/>
        <w:spacing w:after="160" w:before="0"/>
      </w:pPr>
      <w:r>
        <w:rPr>
          <w:rFonts w:ascii="Calibri" w:cs="Calibri" w:eastAsia="Calibri" w:hAnsi="Calibri"/>
          <w:b/>
          <w:bCs/>
          <w:sz w:val="28"/>
          <w:szCs w:val="28"/>
        </w:rPr>
        <w:t xml:space="preserve">6. Results and Discussion</w:t>
      </w:r>
    </w:p>
    <w:p>
      <w:pPr>
        <w:spacing w:after="120" w:line="276"/>
        <w:jc w:val="both"/>
      </w:pPr>
      <w:r>
        <w:rPr>
          <w:rFonts w:ascii="Calibri" w:cs="Calibri" w:eastAsia="Calibri" w:hAnsi="Calibri"/>
          <w:sz w:val="22"/>
          <w:szCs w:val="22"/>
        </w:rPr>
        <w:t xml:space="preserve">This section addresses the assignment-rubric discussion questions across all four phases of the analysis. The unifying observation: each phase asks a harder version of the same efficiency question and obtains the same answer with more force.</w:t>
      </w:r>
    </w:p>
    <w:p>
      <w:pPr>
        <w:pStyle w:val="Heading2"/>
        <w:spacing w:after="120" w:before="240"/>
      </w:pPr>
      <w:r>
        <w:rPr>
          <w:rFonts w:ascii="Calibri" w:cs="Calibri" w:eastAsia="Calibri" w:hAnsi="Calibri"/>
          <w:b/>
          <w:bCs/>
          <w:sz w:val="24"/>
          <w:szCs w:val="24"/>
        </w:rPr>
        <w:t xml:space="preserve">6.1 What Are the Strategies Capturing?</w:t>
      </w:r>
    </w:p>
    <w:p>
      <w:pPr>
        <w:spacing w:after="120" w:line="276"/>
        <w:jc w:val="both"/>
      </w:pPr>
      <w:r>
        <w:rPr>
          <w:rFonts w:ascii="Calibri" w:cs="Calibri" w:eastAsia="Calibri" w:hAnsi="Calibri"/>
          <w:sz w:val="22"/>
          <w:szCs w:val="22"/>
        </w:rPr>
        <w:t xml:space="preserve">Phase 1 (LM dictionary) attempts to capture hawkish/dovish directional content from Fed text using a count-based feature derived from a financial-domain dictionary. Phase 2 (fine-tuned FinBERT-FOMC) attempts to capture the same directional content using a learned representation that has access to contextual semantics. Phase 3v1 (Kalshi expectation) takes the prediction market itself as the best available pre-meeting forecast and asks whether the anticipated component of the Fed decision predicts post-meeting equity returns. Phase 3v2 (Bernanke–Kuttner surprise) is the methodologically cleanest specification: it isolates the component of the realized decision that was not anticipated and asks whether that residual moves prices in the same-day announcement window.</w:t>
      </w:r>
    </w:p>
    <w:p>
      <w:pPr>
        <w:spacing w:after="120" w:line="276"/>
        <w:jc w:val="both"/>
      </w:pPr>
      <w:r>
        <w:rPr>
          <w:rFonts w:ascii="Calibri" w:cs="Calibri" w:eastAsia="Calibri" w:hAnsi="Calibri"/>
          <w:sz w:val="22"/>
          <w:szCs w:val="22"/>
        </w:rPr>
        <w:t xml:space="preserve">All four phases share a common signal class: meeting-level information about Fed monetary policy intentions. They differ in how they extract that information and what kind of efficient-markets boundary their null result establishes. Phase 1 establishes that bag-of-words methods cannot extract directional Fed information beyond what Kalshi prices reflect. Phase 2 establishes that the same null holds against domain-adapted transformers, attributing the gap not to the NLP method but to the difficulty of extracting any textual signal not already in market prices. Phase 3v1 establishes that the anticipated component of Fed policy is already priced into rate-sensitive ETFs before the meeting. Phase 3v2 establishes that the surprise residual is itself near-degenerate by the regime construction of the sample.</w:t>
      </w:r>
    </w:p>
    <w:p>
      <w:pPr>
        <w:pStyle w:val="Heading2"/>
        <w:spacing w:after="120" w:before="240"/>
      </w:pPr>
      <w:r>
        <w:rPr>
          <w:rFonts w:ascii="Calibri" w:cs="Calibri" w:eastAsia="Calibri" w:hAnsi="Calibri"/>
          <w:b/>
          <w:bCs/>
          <w:sz w:val="24"/>
          <w:szCs w:val="24"/>
        </w:rPr>
        <w:t xml:space="preserve">6.2 Why Do the Strategies Mostly Fail to Generate Significant Predictability?</w:t>
      </w:r>
    </w:p>
    <w:p>
      <w:pPr>
        <w:spacing w:after="120" w:line="276"/>
        <w:jc w:val="both"/>
      </w:pPr>
      <w:r>
        <w:rPr>
          <w:rFonts w:ascii="Calibri" w:cs="Calibri" w:eastAsia="Calibri" w:hAnsi="Calibri"/>
          <w:sz w:val="22"/>
          <w:szCs w:val="22"/>
        </w:rPr>
        <w:t xml:space="preserve">The Phase 3v1 IR of 0.573 for TLT is in the “okay/decent” range by Grinold &amp; Kahn (1999) standards, but three specific issues prevent stronger interpretation. First, the IR is computed from only three annual IC observations — TLT [−0.406, +0.964, +0.410] — and the standard deviation 0.562 is nearly as large as the mean 0.323. At three annual observations, the confidence interval on IR spans approximately [−0.5, 1.6] — statistically uninformative. Second, the 2024 IC of 0.964 has the wrong theoretical sign at some horizons: it says hawkish meetings produced higher TLT returns, the opposite of rate-sensitivity logic. This reflects the priced-in cuts effect — anticipated cuts were already in bond prices before meetings, so dovish meetings where cuts were fully delivered produced flat post-meeting TLT, while meetings where the Fed cut less than expected (hawkish surprise) produced bond rallies on relief. The signal is picking up a sample-period artifact. Third, the TLT 5-day hit rate of 31.8% is below 50% — the signal predicts the wrong direction in more than two-thirds of meetings at that horizon.</w:t>
      </w:r>
    </w:p>
    <w:p>
      <w:pPr>
        <w:spacing w:after="120" w:line="276"/>
        <w:jc w:val="both"/>
      </w:pPr>
      <w:r>
        <w:rPr>
          <w:rFonts w:ascii="Calibri" w:cs="Calibri" w:eastAsia="Calibri" w:hAnsi="Calibri"/>
          <w:sz w:val="22"/>
          <w:szCs w:val="22"/>
        </w:rPr>
        <w:t xml:space="preserve">XLF 20-day is the most interesting Phase 3v1 result. IC = −0.344 is the strongest absolute value across all 12 ETF–horizon combinations; β = −0.115% is marginally significant (p = 0.079); R² = 0.146 explains 14.6% of 20-day XLF return variance from a single Kalshi regressor. In the 2024–2025 soft-landing cutting cycle, anticipated Fed cuts were broadly equity-positive — including for financials — despite the naive NIM hypothesis predicting the opposite. Schmeling &amp; Wagner (2024) document a similar dynamic for European financials in accommodation cycles. This is worth investigating further but is a single-regime result.</w:t>
      </w:r>
    </w:p>
    <w:p>
      <w:pPr>
        <w:spacing w:after="120" w:line="276"/>
        <w:jc w:val="both"/>
      </w:pPr>
      <w:r>
        <w:rPr>
          <w:rFonts w:ascii="Calibri" w:cs="Calibri" w:eastAsia="Calibri" w:hAnsi="Calibri"/>
          <w:sz w:val="22"/>
          <w:szCs w:val="22"/>
        </w:rPr>
        <w:t xml:space="preserve">The Phase 3v2 null is a cleaner version of the same story. The Bernanke &amp; Kuttner (2005) framework produced strong results (R² = 0.40–0.79 on bonds) on a 1994–2002 sample because fed funds futures surprises were genuine — surprise standard deviations of 10–15 bp. The Kalshi sample produces near-zero surprise variance by construction: a market with corr(T-7, T-1) = 0.9993 is leaving almost no surprise residual. The September 2024 meeting is the lone exception. When the signal has near-zero variance, no estimation approach — OLS, quintile sort, or z-score weighting — produces reliable inference at N = 23.</w:t>
      </w:r>
    </w:p>
    <w:p>
      <w:pPr>
        <w:spacing w:after="120" w:line="276"/>
        <w:jc w:val="both"/>
      </w:pPr>
      <w:r>
        <w:rPr>
          <w:rFonts w:ascii="Calibri" w:cs="Calibri" w:eastAsia="Calibri" w:hAnsi="Calibri"/>
          <w:sz w:val="22"/>
          <w:szCs w:val="22"/>
        </w:rPr>
        <w:t xml:space="preserve">A realistic live IR estimate for the Phase 3v1 TLT strategy is approximately half the backtest value (standard backtest-to-live decay from data mining and regime shifts), placing live IR near 0.3 — barely viable as a standalone strategy. The XLF result is more interesting but also regime-dependent. The appropriate framing is preliminary findings in a single rate cycle that motivate further investigation with a larger sample, not a validated trading signal.</w:t>
      </w:r>
    </w:p>
    <w:p>
      <w:pPr>
        <w:pStyle w:val="Heading2"/>
        <w:spacing w:after="120" w:before="240"/>
      </w:pPr>
      <w:r>
        <w:rPr>
          <w:rFonts w:ascii="Calibri" w:cs="Calibri" w:eastAsia="Calibri" w:hAnsi="Calibri"/>
          <w:b/>
          <w:bCs/>
          <w:sz w:val="24"/>
          <w:szCs w:val="24"/>
        </w:rPr>
        <w:t xml:space="preserve">6.3 Consistency with Prior Studies</w:t>
      </w:r>
    </w:p>
    <w:p>
      <w:pPr>
        <w:spacing w:after="120" w:line="276"/>
        <w:jc w:val="both"/>
      </w:pPr>
      <w:r>
        <w:rPr>
          <w:rFonts w:ascii="Calibri" w:cs="Calibri" w:eastAsia="Calibri" w:hAnsi="Calibri"/>
          <w:sz w:val="22"/>
          <w:szCs w:val="22"/>
        </w:rPr>
        <w:t xml:space="preserve">The near-zero 1-day IC values for all four ETFs in Phase 3v1 (TLT = +0.253, IEF = +0.342, XLF = −0.104, SPY = −0.050; none significant) are consistent with the Bernanke &amp; Kuttner (2005) finding that the anticipated component of Fed decisions has near-zero same-day market impact. The 20-day directionally-correct bond signs are consistent with the sustained medium-term repricing documented by Kuttner (2001). The XLF 20-day R² of 0.146 is at the high end of the range typically reported in rate-surprise event studies, though those studies use the surprise component rather than the expectation.</w:t>
      </w:r>
    </w:p>
    <w:p>
      <w:pPr>
        <w:spacing w:after="120" w:line="276"/>
        <w:jc w:val="both"/>
      </w:pPr>
      <w:r>
        <w:rPr>
          <w:rFonts w:ascii="Calibri" w:cs="Calibri" w:eastAsia="Calibri" w:hAnsi="Calibri"/>
          <w:sz w:val="22"/>
          <w:szCs w:val="22"/>
        </w:rPr>
        <w:t xml:space="preserve">The corr(T-7, T-1) = 0.9993 finding aligns directly with Diercks, Katz &amp; Wright (2026), whose Figure 1 shows the Kalshi MAE curve flattening near T-10. Our level-correlation result is the dual of their MAE-convergence result: not only does the typical absolute error decline by T-10, but the implied probability distribution itself stabilizes by then and does not materially revise. This is also consistent with Cieslak (2018), who documents that surprise variance has been declining structurally since the introduction of FOMC forward guidance in 2012; Kalshi-era markets continue this trend at a higher level of pre-meeting consensus.</w:t>
      </w:r>
    </w:p>
    <w:p>
      <w:pPr>
        <w:spacing w:after="120" w:line="276"/>
        <w:jc w:val="both"/>
      </w:pPr>
      <w:r>
        <w:rPr>
          <w:rFonts w:ascii="Calibri" w:cs="Calibri" w:eastAsia="Calibri" w:hAnsi="Calibri"/>
          <w:sz w:val="22"/>
          <w:szCs w:val="22"/>
        </w:rPr>
        <w:t xml:space="preserve">The MixMCP α* = 0.00 results for both LM (Phase 1) and FinBERT (Phase 2) directly extend Kim et al. (2026): their finding that LLM signals add minimal value over Kalshi earnings-call mention markets generalizes to dictionary signals and to fine-tuned domain-specific transformers. The DistilBERT zero-shot result (F1 = 0.925, r = 0.866 on the in-distribution Shah test set) is consistent with the Shah et al. (2023) FOMC-RoBERTa benchmark of weighted F1 ≈ 0.69 — DistilBERT's higher in-distribution F1 reflects its training on Shah-format sentences, while RoBERTa-large's parameter advantage produces better generalization. The structural decomposition (Section 5.1.5) is consistent with the broader observation that bag-of-words methods underperform contextual transformers on directional sentiment tasks across financial-text domains.</w:t>
      </w:r>
    </w:p>
    <w:p>
      <w:pPr>
        <w:pStyle w:val="Heading2"/>
        <w:spacing w:after="120" w:before="240"/>
      </w:pPr>
      <w:r>
        <w:rPr>
          <w:rFonts w:ascii="Calibri" w:cs="Calibri" w:eastAsia="Calibri" w:hAnsi="Calibri"/>
          <w:b/>
          <w:bCs/>
          <w:sz w:val="24"/>
          <w:szCs w:val="24"/>
        </w:rPr>
        <w:t xml:space="preserve">6.4 Useful Alone or Combined?</w:t>
      </w:r>
    </w:p>
    <w:p>
      <w:pPr>
        <w:spacing w:after="120" w:line="276"/>
        <w:jc w:val="both"/>
      </w:pPr>
      <w:r>
        <w:rPr>
          <w:rFonts w:ascii="Calibri" w:cs="Calibri" w:eastAsia="Calibri" w:hAnsi="Calibri"/>
          <w:sz w:val="22"/>
          <w:szCs w:val="22"/>
        </w:rPr>
        <w:t xml:space="preserve">Alone, none of the textual signals or Kalshi-derived signals tested here produces inference that survives conventional significance thresholds with appropriate multiple-testing correction at the available sample size. The XLF 20-day Phase 3v1 result is the strongest standalone candidate for further development; the KRE same-day Phase 3v2 result is the cleanest. Both should be revisited with a larger sample.</w:t>
      </w:r>
    </w:p>
    <w:p>
      <w:pPr>
        <w:spacing w:after="120" w:line="276"/>
        <w:jc w:val="both"/>
      </w:pPr>
      <w:r>
        <w:rPr>
          <w:rFonts w:ascii="Calibri" w:cs="Calibri" w:eastAsia="Calibri" w:hAnsi="Calibri"/>
          <w:sz w:val="22"/>
          <w:szCs w:val="22"/>
        </w:rPr>
        <w:t xml:space="preserve">Combined approaches are the most productive direction. Three pieces of evidence support this. First, the FinBERT and LM signals are nearly uncorrelated at the meeting level (Spearman r = −0.078, p = 0.62, N = 42; see Section 5.2.3), capturing different aspects of Fed communication. Second, the LM Uncertainty dimension is significantly correlated with confidence labels (r = 0.167, p &lt; 0.001) but uncorrelated with hawkish/dovish direction, providing an orthogonal feature. Third, the Kalshi anchor is dominant in the MixMCP framework (α* = 0.00) but does not exhaust the available textual variance — the FinBERT signal explains 9.2% more of the standalone Brier than LM does, indicating residual content that is simply outweighed by Kalshi at the blending stage.</w:t>
      </w:r>
    </w:p>
    <w:p>
      <w:pPr>
        <w:spacing w:after="120" w:line="276"/>
        <w:jc w:val="both"/>
      </w:pPr>
      <w:r>
        <w:rPr>
          <w:rFonts w:ascii="Calibri" w:cs="Calibri" w:eastAsia="Calibri" w:hAnsi="Calibri"/>
          <w:sz w:val="22"/>
          <w:szCs w:val="22"/>
        </w:rPr>
        <w:t xml:space="preserve">A composite specification weighting Kalshi expectation, FinBERT directional stance, LM Uncertainty, and the Kalshi surprise residual — four variables documented as approximately uncorrelated across phases — is a natural extension. Such a model would not test market efficiency further (Phase 3v2 is the efficiency capstone). It would be an operationalization study: can a multi-feature input that includes the market consensus and orthogonal textual features outperform the market consensus alone in a cross-sectional macro-overlay framework? Answering that question requires a longer sample and a richer asset universe.</w:t>
      </w:r>
    </w:p>
    <w:p>
      <w:pPr>
        <w:pStyle w:val="Heading2"/>
        <w:spacing w:after="120" w:before="240"/>
      </w:pPr>
      <w:r>
        <w:rPr>
          <w:rFonts w:ascii="Calibri" w:cs="Calibri" w:eastAsia="Calibri" w:hAnsi="Calibri"/>
          <w:b/>
          <w:bCs/>
          <w:sz w:val="24"/>
          <w:szCs w:val="24"/>
        </w:rPr>
        <w:t xml:space="preserve">6.5 Improvements</w:t>
      </w:r>
    </w:p>
    <w:p>
      <w:pPr>
        <w:pStyle w:val="ListParagraph"/>
        <w:numPr>
          <w:ilvl w:val="0"/>
          <w:numId w:val="3"/>
        </w:numPr>
        <w:spacing w:after="80" w:line="276"/>
      </w:pPr>
      <w:r>
        <w:rPr>
          <w:rFonts w:ascii="Calibri" w:cs="Calibri" w:eastAsia="Calibri" w:hAnsi="Calibri"/>
          <w:b/>
          <w:bCs/>
          <w:sz w:val="22"/>
          <w:szCs w:val="22"/>
        </w:rPr>
        <w:t xml:space="preserve">True T-0 intraday window. </w:t>
      </w:r>
      <w:r>
        <w:rPr>
          <w:rFonts w:ascii="Calibri" w:cs="Calibri" w:eastAsia="Calibri" w:hAnsi="Calibri"/>
          <w:sz w:val="22"/>
          <w:szCs w:val="22"/>
        </w:rPr>
        <w:t xml:space="preserve">The 30-minute window around the 2:00 p.m. statement release is the canonical Bernanke–Kuttner event window. It captures the surprise effect before mean-reversion. Same-day open-to-close (this study) dilutes the response across 6.5 hours. Intraday OHLCV is unavailable via yfinance for ETFs but accessible via WRDS TAQ.</w:t>
      </w:r>
    </w:p>
    <w:p>
      <w:pPr>
        <w:pStyle w:val="ListParagraph"/>
        <w:numPr>
          <w:ilvl w:val="0"/>
          <w:numId w:val="3"/>
        </w:numPr>
        <w:spacing w:after="80" w:line="276"/>
      </w:pPr>
      <w:r>
        <w:rPr>
          <w:rFonts w:ascii="Calibri" w:cs="Calibri" w:eastAsia="Calibri" w:hAnsi="Calibri"/>
          <w:b/>
          <w:bCs/>
          <w:sz w:val="22"/>
          <w:szCs w:val="22"/>
        </w:rPr>
        <w:t xml:space="preserve">Extend sample via Polymarket. </w:t>
      </w:r>
      <w:r>
        <w:rPr>
          <w:rFonts w:ascii="Calibri" w:cs="Calibri" w:eastAsia="Calibri" w:hAnsi="Calibri"/>
          <w:sz w:val="22"/>
          <w:szCs w:val="22"/>
        </w:rPr>
        <w:t xml:space="preserve">Polymarket Fed-decision markets precede Kalshi by approximately two years. Including 2021–2023 meetings would add hike-cycle variation and several genuine surprise events (e.g., the 2022 75 bp hike surprises). The Allium academic grant would make this accessible.</w:t>
      </w:r>
    </w:p>
    <w:p>
      <w:pPr>
        <w:pStyle w:val="ListParagraph"/>
        <w:numPr>
          <w:ilvl w:val="0"/>
          <w:numId w:val="3"/>
        </w:numPr>
        <w:spacing w:after="80" w:line="276"/>
      </w:pPr>
      <w:r>
        <w:rPr>
          <w:rFonts w:ascii="Calibri" w:cs="Calibri" w:eastAsia="Calibri" w:hAnsi="Calibri"/>
          <w:b/>
          <w:bCs/>
          <w:sz w:val="22"/>
          <w:szCs w:val="22"/>
        </w:rPr>
        <w:t xml:space="preserve">Multi-regime span. </w:t>
      </w:r>
      <w:r>
        <w:rPr>
          <w:rFonts w:ascii="Calibri" w:cs="Calibri" w:eastAsia="Calibri" w:hAnsi="Calibri"/>
          <w:sz w:val="22"/>
          <w:szCs w:val="22"/>
        </w:rPr>
        <w:t xml:space="preserve">The current sample is one cutting cycle plus the tail of one hiking cycle. Bernanke &amp; Kuttner's R² of 0.40–0.79 obtained in part because their 1994–2002 sample spanned hike, cut, and pause regimes with genuine surprise variance throughout. A robust signal-return relationship requires multi-regime data.</w:t>
      </w:r>
    </w:p>
    <w:p>
      <w:pPr>
        <w:pStyle w:val="ListParagraph"/>
        <w:numPr>
          <w:ilvl w:val="0"/>
          <w:numId w:val="3"/>
        </w:numPr>
        <w:spacing w:after="80" w:line="276"/>
      </w:pPr>
      <w:r>
        <w:rPr>
          <w:rFonts w:ascii="Calibri" w:cs="Calibri" w:eastAsia="Calibri" w:hAnsi="Calibri"/>
          <w:b/>
          <w:bCs/>
          <w:sz w:val="22"/>
          <w:szCs w:val="22"/>
        </w:rPr>
        <w:t xml:space="preserve">Composite signal model. </w:t>
      </w:r>
      <w:r>
        <w:rPr>
          <w:rFonts w:ascii="Calibri" w:cs="Calibri" w:eastAsia="Calibri" w:hAnsi="Calibri"/>
          <w:sz w:val="22"/>
          <w:szCs w:val="22"/>
        </w:rPr>
        <w:t xml:space="preserve">Combine the Kalshi surprise (once T-1 data is consistently archived), the FinBERT directional stance (uncorrelated with LM), and the LM Uncertainty dimension into a single multi-feature predictor rather than a competing-blend pair.</w:t>
      </w:r>
    </w:p>
    <w:p>
      <w:pPr>
        <w:pStyle w:val="ListParagraph"/>
        <w:numPr>
          <w:ilvl w:val="0"/>
          <w:numId w:val="3"/>
        </w:numPr>
        <w:spacing w:after="80" w:line="276"/>
      </w:pPr>
      <w:r>
        <w:rPr>
          <w:rFonts w:ascii="Calibri" w:cs="Calibri" w:eastAsia="Calibri" w:hAnsi="Calibri"/>
          <w:b/>
          <w:bCs/>
          <w:sz w:val="22"/>
          <w:szCs w:val="22"/>
        </w:rPr>
        <w:t xml:space="preserve">Duration-neutral bond construction. </w:t>
      </w:r>
      <w:r>
        <w:rPr>
          <w:rFonts w:ascii="Calibri" w:cs="Calibri" w:eastAsia="Calibri" w:hAnsi="Calibri"/>
          <w:sz w:val="22"/>
          <w:szCs w:val="22"/>
        </w:rPr>
        <w:t xml:space="preserve">Long TLT / short IEF, sized to be duration-neutral, isolates the curve response from parallel yield shifts and provides a cleaner FOMC-specific test.</w:t>
      </w:r>
    </w:p>
    <w:p>
      <w:pPr>
        <w:pStyle w:val="ListParagraph"/>
        <w:numPr>
          <w:ilvl w:val="0"/>
          <w:numId w:val="3"/>
        </w:numPr>
        <w:spacing w:after="80" w:line="276"/>
      </w:pPr>
      <w:r>
        <w:rPr>
          <w:rFonts w:ascii="Calibri" w:cs="Calibri" w:eastAsia="Calibri" w:hAnsi="Calibri"/>
          <w:b/>
          <w:bCs/>
          <w:sz w:val="22"/>
          <w:szCs w:val="22"/>
        </w:rPr>
        <w:t xml:space="preserve">Factor controls and transaction costs. </w:t>
      </w:r>
      <w:r>
        <w:rPr>
          <w:rFonts w:ascii="Calibri" w:cs="Calibri" w:eastAsia="Calibri" w:hAnsi="Calibri"/>
          <w:sz w:val="22"/>
          <w:szCs w:val="22"/>
        </w:rPr>
        <w:t xml:space="preserve">Fama–French adjustment would test whether the XLF fractile spread survives standard risk attribution. Institutional-scale slippage of 5–10 bp round-trip on FOMC days could erode marginal Sharpe ratios; a transaction-cost model is the prerequisite for any deployment claim.</w:t>
      </w:r>
    </w:p>
    <w:p>
      <w:pPr>
        <w:pStyle w:val="ListParagraph"/>
        <w:numPr>
          <w:ilvl w:val="0"/>
          <w:numId w:val="3"/>
        </w:numPr>
        <w:spacing w:after="80" w:line="276"/>
      </w:pPr>
      <w:r>
        <w:rPr>
          <w:rFonts w:ascii="Calibri" w:cs="Calibri" w:eastAsia="Calibri" w:hAnsi="Calibri"/>
          <w:b/>
          <w:bCs/>
          <w:sz w:val="22"/>
          <w:szCs w:val="22"/>
        </w:rPr>
        <w:t xml:space="preserve">Nonlinear surprise effects. </w:t>
      </w:r>
      <w:r>
        <w:rPr>
          <w:rFonts w:ascii="Calibri" w:cs="Calibri" w:eastAsia="Calibri" w:hAnsi="Calibri"/>
          <w:sz w:val="22"/>
          <w:szCs w:val="22"/>
        </w:rPr>
        <w:t xml:space="preserve">Cieslak (2018) documents convexity in the surprise–return relationship. At N = 23, a rank-based IC picks up this nonlinearity better than OLS, consistent with the IEI IC = 0.148 despite near-zero β observed in Phase 3v2.</w:t>
      </w:r>
    </w:p>
    <w:p>
      <w:pPr>
        <w:pStyle w:val="Heading1"/>
        <w:pageBreakBefore/>
        <w:spacing w:after="160" w:before="0"/>
      </w:pPr>
      <w:r>
        <w:rPr>
          <w:rFonts w:ascii="Calibri" w:cs="Calibri" w:eastAsia="Calibri" w:hAnsi="Calibri"/>
          <w:b/>
          <w:bCs/>
          <w:sz w:val="28"/>
          <w:szCs w:val="28"/>
        </w:rPr>
        <w:t xml:space="preserve">7. Limitations</w:t>
      </w:r>
    </w:p>
    <w:p>
      <w:pPr>
        <w:spacing w:after="120" w:line="276"/>
        <w:jc w:val="both"/>
      </w:pPr>
      <w:r>
        <w:rPr>
          <w:rFonts w:ascii="Calibri" w:cs="Calibri" w:eastAsia="Calibri" w:hAnsi="Calibri"/>
          <w:sz w:val="22"/>
          <w:szCs w:val="22"/>
        </w:rPr>
        <w:t xml:space="preserve">We consolidate limitations across the four phases. Four scope boundaries deserve explicit upfront statement; six additional design and data limitations follow.</w:t>
      </w:r>
    </w:p>
    <w:p>
      <w:pPr>
        <w:pStyle w:val="Heading2"/>
        <w:spacing w:after="120" w:before="240"/>
      </w:pPr>
      <w:r>
        <w:rPr>
          <w:rFonts w:ascii="Calibri" w:cs="Calibri" w:eastAsia="Calibri" w:hAnsi="Calibri"/>
          <w:b/>
          <w:bCs/>
          <w:sz w:val="24"/>
          <w:szCs w:val="24"/>
        </w:rPr>
        <w:t xml:space="preserve">7.1 Four Honest Scope Boundaries</w:t>
      </w:r>
    </w:p>
    <w:p>
      <w:pPr>
        <w:pStyle w:val="ListParagraph"/>
        <w:numPr>
          <w:ilvl w:val="0"/>
          <w:numId w:val="3"/>
        </w:numPr>
        <w:spacing w:after="80" w:line="276"/>
      </w:pPr>
      <w:r>
        <w:rPr>
          <w:rFonts w:ascii="Calibri" w:cs="Calibri" w:eastAsia="Calibri" w:hAnsi="Calibri"/>
          <w:b/>
          <w:bCs/>
          <w:sz w:val="22"/>
          <w:szCs w:val="22"/>
        </w:rPr>
        <w:t xml:space="preserve">Single-regime sample. </w:t>
      </w:r>
      <w:r>
        <w:rPr>
          <w:rFonts w:ascii="Calibri" w:cs="Calibri" w:eastAsia="Calibri" w:hAnsi="Calibri"/>
          <w:sz w:val="22"/>
          <w:szCs w:val="22"/>
        </w:rPr>
        <w:t xml:space="preserve">All 22–23 Kalshi-era meetings fall within the November 2023 to February 2026 cutting-and-hold cycle. The Bernanke &amp; Kuttner (2005) sample spanned 1994–2002, including hike, cut, and pause regimes with genuine surprise variance. Generalization beyond the sample regime is not established. Sample-regime artifacts likely contribute to the Phase 3v1 sign anomalies and the Phase 3v2 near-degenerate surprise distribution.</w:t>
      </w:r>
    </w:p>
    <w:p>
      <w:pPr>
        <w:pStyle w:val="ListParagraph"/>
        <w:numPr>
          <w:ilvl w:val="0"/>
          <w:numId w:val="3"/>
        </w:numPr>
        <w:spacing w:after="80" w:line="276"/>
      </w:pPr>
      <w:r>
        <w:rPr>
          <w:rFonts w:ascii="Calibri" w:cs="Calibri" w:eastAsia="Calibri" w:hAnsi="Calibri"/>
          <w:b/>
          <w:bCs/>
          <w:sz w:val="22"/>
          <w:szCs w:val="22"/>
        </w:rPr>
        <w:t xml:space="preserve">6.5-hour event-window approximation. </w:t>
      </w:r>
      <w:r>
        <w:rPr>
          <w:rFonts w:ascii="Calibri" w:cs="Calibri" w:eastAsia="Calibri" w:hAnsi="Calibri"/>
          <w:sz w:val="22"/>
          <w:szCs w:val="22"/>
        </w:rPr>
        <w:t xml:space="preserve">Phase 3v2 uses same-day open-to-close as the cleanest yfinance approximation of the Bernanke–Kuttner event window. The actual canonical window is approximately 30 minutes around the 2:00 p.m. statement release. Intraday TAQ data via WRDS would sharpen the test and is the path forward.</w:t>
      </w:r>
    </w:p>
    <w:p>
      <w:pPr>
        <w:pStyle w:val="ListParagraph"/>
        <w:numPr>
          <w:ilvl w:val="0"/>
          <w:numId w:val="3"/>
        </w:numPr>
        <w:spacing w:after="80" w:line="276"/>
      </w:pPr>
      <w:r>
        <w:rPr>
          <w:rFonts w:ascii="Calibri" w:cs="Calibri" w:eastAsia="Calibri" w:hAnsi="Calibri"/>
          <w:b/>
          <w:bCs/>
          <w:sz w:val="22"/>
          <w:szCs w:val="22"/>
        </w:rPr>
        <w:t xml:space="preserve">Regime-degenerate surprise distribution. </w:t>
      </w:r>
      <w:r>
        <w:rPr>
          <w:rFonts w:ascii="Calibri" w:cs="Calibri" w:eastAsia="Calibri" w:hAnsi="Calibri"/>
          <w:sz w:val="22"/>
          <w:szCs w:val="22"/>
        </w:rPr>
        <w:t xml:space="preserve">The surprise variable has near-zero variance because Kalshi prices each meeting to near-perfection a week in advance. We have established efficiency against this surprise residual in this regime. We have not established efficiency in other regimes, and the Phase 3v2 method cannot do so on this sample.</w:t>
      </w:r>
    </w:p>
    <w:p>
      <w:pPr>
        <w:pStyle w:val="ListParagraph"/>
        <w:numPr>
          <w:ilvl w:val="0"/>
          <w:numId w:val="3"/>
        </w:numPr>
        <w:spacing w:after="80" w:line="276"/>
      </w:pPr>
      <w:r>
        <w:rPr>
          <w:rFonts w:ascii="Calibri" w:cs="Calibri" w:eastAsia="Calibri" w:hAnsi="Calibri"/>
          <w:b/>
          <w:bCs/>
          <w:sz w:val="22"/>
          <w:szCs w:val="22"/>
        </w:rPr>
        <w:t xml:space="preserve">All inference is directionally interpretable only. </w:t>
      </w:r>
      <w:r>
        <w:rPr>
          <w:rFonts w:ascii="Calibri" w:cs="Calibri" w:eastAsia="Calibri" w:hAnsi="Calibri"/>
          <w:sz w:val="22"/>
          <w:szCs w:val="22"/>
        </w:rPr>
        <w:t xml:space="preserve">No specification reaches conventional significance under appropriate multiple-testing correction; bootstrap CIs include zero for all primary assets in Phase 3v2; and Phase 1 reports zero of 12 regressions surviving Bonferroni. The Phase 3v1 TLT IR of 0.573 nominally exceeds the Grinold–Kahn threshold but rests on three annual IC observations.</w:t>
      </w:r>
    </w:p>
    <w:p>
      <w:pPr>
        <w:pStyle w:val="Heading2"/>
        <w:spacing w:after="120" w:before="240"/>
      </w:pPr>
      <w:r>
        <w:rPr>
          <w:rFonts w:ascii="Calibri" w:cs="Calibri" w:eastAsia="Calibri" w:hAnsi="Calibri"/>
          <w:b/>
          <w:bCs/>
          <w:sz w:val="24"/>
          <w:szCs w:val="24"/>
        </w:rPr>
        <w:t xml:space="preserve">7.2 Additional Design and Data Limitations</w:t>
      </w:r>
    </w:p>
    <w:p>
      <w:pPr>
        <w:pStyle w:val="ListParagraph"/>
        <w:numPr>
          <w:ilvl w:val="0"/>
          <w:numId w:val="3"/>
        </w:numPr>
        <w:spacing w:after="80" w:line="276"/>
      </w:pPr>
      <w:r>
        <w:rPr>
          <w:rFonts w:ascii="Calibri" w:cs="Calibri" w:eastAsia="Calibri" w:hAnsi="Calibri"/>
          <w:b/>
          <w:bCs/>
          <w:sz w:val="22"/>
          <w:szCs w:val="22"/>
        </w:rPr>
        <w:t xml:space="preserve">Validation gate failure (Phase 1). </w:t>
      </w:r>
      <w:r>
        <w:rPr>
          <w:rFonts w:ascii="Calibri" w:cs="Calibri" w:eastAsia="Calibri" w:hAnsi="Calibri"/>
          <w:sz w:val="22"/>
          <w:szCs w:val="22"/>
        </w:rPr>
        <w:t xml:space="preserve">All Phase 1 financial tests are exploratory under the pre-registered protocol. Meeting-level aggregation may recover signal that paragraph-level classification loses, but this hypothesis was not pre-registered.</w:t>
      </w:r>
    </w:p>
    <w:p>
      <w:pPr>
        <w:pStyle w:val="ListParagraph"/>
        <w:numPr>
          <w:ilvl w:val="0"/>
          <w:numId w:val="3"/>
        </w:numPr>
        <w:spacing w:after="80" w:line="276"/>
      </w:pPr>
      <w:r>
        <w:rPr>
          <w:rFonts w:ascii="Calibri" w:cs="Calibri" w:eastAsia="Calibri" w:hAnsi="Calibri"/>
          <w:b/>
          <w:bCs/>
          <w:sz w:val="22"/>
          <w:szCs w:val="22"/>
        </w:rPr>
        <w:t xml:space="preserve">Thin-document windows. </w:t>
      </w:r>
      <w:r>
        <w:rPr>
          <w:rFonts w:ascii="Calibri" w:cs="Calibri" w:eastAsia="Calibri" w:hAnsi="Calibri"/>
          <w:sz w:val="22"/>
          <w:szCs w:val="22"/>
        </w:rPr>
        <w:t xml:space="preserve">Four of the five most extreme LM signal meetings have n_docs = 1. Single-document extremes may reflect idiosyncratic document tone rather than genuine policy direction.</w:t>
      </w:r>
    </w:p>
    <w:p>
      <w:pPr>
        <w:pStyle w:val="ListParagraph"/>
        <w:numPr>
          <w:ilvl w:val="0"/>
          <w:numId w:val="3"/>
        </w:numPr>
        <w:spacing w:after="80" w:line="276"/>
      </w:pPr>
      <w:r>
        <w:rPr>
          <w:rFonts w:ascii="Calibri" w:cs="Calibri" w:eastAsia="Calibri" w:hAnsi="Calibri"/>
          <w:b/>
          <w:bCs/>
          <w:sz w:val="22"/>
          <w:szCs w:val="22"/>
        </w:rPr>
        <w:t xml:space="preserve">Mention market coverage. </w:t>
      </w:r>
      <w:r>
        <w:rPr>
          <w:rFonts w:ascii="Calibri" w:cs="Calibri" w:eastAsia="Calibri" w:hAnsi="Calibri"/>
          <w:sz w:val="22"/>
          <w:szCs w:val="22"/>
        </w:rPr>
        <w:t xml:space="preserve">Only 7 FOMC meetings overlap between Kalshi mention data and the LM signal (5 for the FinBERT subset). Brier and ECE estimates are preliminary at this overlap and the absolute α = 0 baselines differ across the LM and FinBERT α-sweeps because the underlying market subsets differ.</w:t>
      </w:r>
    </w:p>
    <w:p>
      <w:pPr>
        <w:pStyle w:val="ListParagraph"/>
        <w:numPr>
          <w:ilvl w:val="0"/>
          <w:numId w:val="3"/>
        </w:numPr>
        <w:spacing w:after="80" w:line="276"/>
      </w:pPr>
      <w:r>
        <w:rPr>
          <w:rFonts w:ascii="Calibri" w:cs="Calibri" w:eastAsia="Calibri" w:hAnsi="Calibri"/>
          <w:b/>
          <w:bCs/>
          <w:sz w:val="22"/>
          <w:szCs w:val="22"/>
        </w:rPr>
        <w:t xml:space="preserve">Press conference Q&amp;A parsing. </w:t>
      </w:r>
      <w:r>
        <w:rPr>
          <w:rFonts w:ascii="Calibri" w:cs="Calibri" w:eastAsia="Calibri" w:hAnsi="Calibri"/>
          <w:sz w:val="22"/>
          <w:szCs w:val="22"/>
        </w:rPr>
        <w:t xml:space="preserve">Q&amp;A segmentation succeeded for only 8 of 72 press conferences due to inconsistent PDF formatting; the remaining 56 include Q&amp;A hedging language in the prepared-statement score.</w:t>
      </w:r>
    </w:p>
    <w:p>
      <w:pPr>
        <w:pStyle w:val="ListParagraph"/>
        <w:numPr>
          <w:ilvl w:val="0"/>
          <w:numId w:val="3"/>
        </w:numPr>
        <w:spacing w:after="80" w:line="276"/>
      </w:pPr>
      <w:r>
        <w:rPr>
          <w:rFonts w:ascii="Calibri" w:cs="Calibri" w:eastAsia="Calibri" w:hAnsi="Calibri"/>
          <w:b/>
          <w:bCs/>
          <w:sz w:val="22"/>
          <w:szCs w:val="22"/>
        </w:rPr>
        <w:t xml:space="preserve">Training data imbalance and distribution mismatch (Phase 2). </w:t>
      </w:r>
      <w:r>
        <w:rPr>
          <w:rFonts w:ascii="Calibri" w:cs="Calibri" w:eastAsia="Calibri" w:hAnsi="Calibri"/>
          <w:sz w:val="22"/>
          <w:szCs w:val="22"/>
        </w:rPr>
        <w:t xml:space="preserve">Both Shah et al. and our Powell paragraph corpus are neutral-dominant (~50% and ~66% neutral, respectively). The fine-tuned model shows lower Hawkish recall (0.64) and lower Dovish F1 (0.50) on the test set. The fine-tuned model is trained on a mix of Shah sentences (~33 words) and Powell paragraphs (~95 words) but evaluated on Shah sentences only; reported F1 = 0.618 and r = 0.348 likely understate performance on actual Powell paragraphs.</w:t>
      </w:r>
    </w:p>
    <w:p>
      <w:pPr>
        <w:pStyle w:val="ListParagraph"/>
        <w:numPr>
          <w:ilvl w:val="0"/>
          <w:numId w:val="3"/>
        </w:numPr>
        <w:spacing w:after="80" w:line="276"/>
      </w:pPr>
      <w:r>
        <w:rPr>
          <w:rFonts w:ascii="Calibri" w:cs="Calibri" w:eastAsia="Calibri" w:hAnsi="Calibri"/>
          <w:b/>
          <w:bCs/>
          <w:sz w:val="22"/>
          <w:szCs w:val="22"/>
        </w:rPr>
        <w:t xml:space="preserve">FOMC-RoBERTa access pending. </w:t>
      </w:r>
      <w:r>
        <w:rPr>
          <w:rFonts w:ascii="Calibri" w:cs="Calibri" w:eastAsia="Calibri" w:hAnsi="Calibri"/>
          <w:sz w:val="22"/>
          <w:szCs w:val="22"/>
        </w:rPr>
        <w:t xml:space="preserve">The strongest available base model (Shah et al. 2023, RoBERTa-large, F1 ≈ 0.69) is gated and unavailable at time of writing. Access was requested on May 4, 2026.</w:t>
      </w:r>
    </w:p>
    <w:p>
      <w:pPr>
        <w:pStyle w:val="ListParagraph"/>
        <w:numPr>
          <w:ilvl w:val="0"/>
          <w:numId w:val="3"/>
        </w:numPr>
        <w:spacing w:after="80" w:line="276"/>
      </w:pPr>
      <w:r>
        <w:rPr>
          <w:rFonts w:ascii="Calibri" w:cs="Calibri" w:eastAsia="Calibri" w:hAnsi="Calibri"/>
          <w:b/>
          <w:bCs/>
          <w:sz w:val="22"/>
          <w:szCs w:val="22"/>
        </w:rPr>
        <w:t xml:space="preserve">Powell-only generalization (Phase 2). </w:t>
      </w:r>
      <w:r>
        <w:rPr>
          <w:rFonts w:ascii="Calibri" w:cs="Calibri" w:eastAsia="Calibri" w:hAnsi="Calibri"/>
          <w:sz w:val="22"/>
          <w:szCs w:val="22"/>
        </w:rPr>
        <w:t xml:space="preserve">All 500 paragraph-level labels are from Powell speeches and press conferences. The fine-tuned model may not generalize to other Fed speakers (Yellen, Bernanke).</w:t>
      </w:r>
    </w:p>
    <w:p>
      <w:pPr>
        <w:pStyle w:val="ListParagraph"/>
        <w:numPr>
          <w:ilvl w:val="0"/>
          <w:numId w:val="3"/>
        </w:numPr>
        <w:spacing w:after="80" w:line="276"/>
      </w:pPr>
      <w:r>
        <w:rPr>
          <w:rFonts w:ascii="Calibri" w:cs="Calibri" w:eastAsia="Calibri" w:hAnsi="Calibri"/>
          <w:b/>
          <w:bCs/>
          <w:sz w:val="22"/>
          <w:szCs w:val="22"/>
        </w:rPr>
        <w:t xml:space="preserve">Quintile bin size (Phase 3v1). </w:t>
      </w:r>
      <w:r>
        <w:rPr>
          <w:rFonts w:ascii="Calibri" w:cs="Calibri" w:eastAsia="Calibri" w:hAnsi="Calibri"/>
          <w:sz w:val="22"/>
          <w:szCs w:val="22"/>
        </w:rPr>
        <w:t xml:space="preserve">With approximately 4 meetings per quintile, a single outlier meeting can dominate the bin mean. The September 2024 50 bp cut is a particularly influential observation; a leave-one-out analysis would be informative.</w:t>
      </w:r>
    </w:p>
    <w:p>
      <w:pPr>
        <w:pStyle w:val="ListParagraph"/>
        <w:numPr>
          <w:ilvl w:val="0"/>
          <w:numId w:val="3"/>
        </w:numPr>
        <w:spacing w:after="80" w:line="276"/>
      </w:pPr>
      <w:r>
        <w:rPr>
          <w:rFonts w:ascii="Calibri" w:cs="Calibri" w:eastAsia="Calibri" w:hAnsi="Calibri"/>
          <w:b/>
          <w:bCs/>
          <w:sz w:val="22"/>
          <w:szCs w:val="22"/>
        </w:rPr>
        <w:t xml:space="preserve">No transaction-cost adjustment. </w:t>
      </w:r>
      <w:r>
        <w:rPr>
          <w:rFonts w:ascii="Calibri" w:cs="Calibri" w:eastAsia="Calibri" w:hAnsi="Calibri"/>
          <w:sz w:val="22"/>
          <w:szCs w:val="22"/>
        </w:rPr>
        <w:t xml:space="preserve">Phase 3 returns are gross. ETF retail bid–ask spreads are 1–2 bp; institutional FOMC-day slippage of 5–10 bp round-trip is realistic. Marginal Sharpe ratios may not survive this haircut.</w:t>
      </w:r>
    </w:p>
    <w:p>
      <w:pPr>
        <w:pStyle w:val="Heading1"/>
        <w:pageBreakBefore/>
        <w:spacing w:after="160" w:before="0"/>
      </w:pPr>
      <w:r>
        <w:rPr>
          <w:rFonts w:ascii="Calibri" w:cs="Calibri" w:eastAsia="Calibri" w:hAnsi="Calibri"/>
          <w:b/>
          <w:bCs/>
          <w:sz w:val="28"/>
          <w:szCs w:val="28"/>
        </w:rPr>
        <w:t xml:space="preserve">8. Conclusion</w:t>
      </w:r>
    </w:p>
    <w:p>
      <w:pPr>
        <w:spacing w:after="120" w:line="276"/>
        <w:jc w:val="both"/>
      </w:pPr>
      <w:r>
        <w:rPr>
          <w:rFonts w:ascii="Calibri" w:cs="Calibri" w:eastAsia="Calibri" w:hAnsi="Calibri"/>
          <w:sz w:val="22"/>
          <w:szCs w:val="22"/>
        </w:rPr>
        <w:t xml:space="preserve">This project began by asking whether Loughran–McDonald dictionary signals from Federal Reserve communications could predict FOMC-related financial outcomes around 68 meetings in the Powell era. The answer, developed across four experiments spanning three phases, is a progressively stronger no — and that no is the contribution.</w:t>
      </w:r>
    </w:p>
    <w:p>
      <w:pPr>
        <w:spacing w:after="120" w:line="276"/>
        <w:jc w:val="both"/>
      </w:pPr>
      <w:r>
        <w:rPr>
          <w:rFonts w:ascii="Calibri" w:cs="Calibri" w:eastAsia="Calibri" w:hAnsi="Calibri"/>
          <w:sz w:val="22"/>
          <w:szCs w:val="22"/>
        </w:rPr>
        <w:t xml:space="preserve">Phase 1 established that Kalshi is the informational efficient frontier for FOMC mention markets: α* = 0.00, LM adds nothing. Twelve OLS regressions on rate-sensitive ETFs all fail Bonferroni correction. The structural decomposition explains the mechanism — bag-of-words methods cannot resolve hawkish/dovish semantic framing across two orders of magnitude of text length, while they do detect uncertainty (the construct LM was designed for) at r = 0.167.</w:t>
      </w:r>
    </w:p>
    <w:p>
      <w:pPr>
        <w:spacing w:after="120" w:line="276"/>
        <w:jc w:val="both"/>
      </w:pPr>
      <w:r>
        <w:rPr>
          <w:rFonts w:ascii="Calibri" w:cs="Calibri" w:eastAsia="Calibri" w:hAnsi="Calibri"/>
          <w:sz w:val="22"/>
          <w:szCs w:val="22"/>
        </w:rPr>
        <w:t xml:space="preserve">Phase 2 confirmed Phase 1's efficiency finding against domain-adapted transformers: α* = 0.00 again, even for a fine-tuned FinBERT-FOMC model that closes the paragraph-level performance gap to LM by 5× (r: 0.069 → 0.348) and reduces standalone meeting-level Brier by 9.2% (0.422 → 0.383). The DistilBERT zero-shot result (F1 = 0.925, r = 0.866) confirms the task is solvable at near-human accuracy — the LM failure is a method limitation, not a task ceiling. FinBERT and LM signals are nearly uncorrelated at the meeting level (r = −0.078), establishing them as complementary features for any future composite specification.</w:t>
      </w:r>
    </w:p>
    <w:p>
      <w:pPr>
        <w:spacing w:after="120" w:line="276"/>
        <w:jc w:val="both"/>
      </w:pPr>
      <w:r>
        <w:rPr>
          <w:rFonts w:ascii="Calibri" w:cs="Calibri" w:eastAsia="Calibri" w:hAnsi="Calibri"/>
          <w:sz w:val="22"/>
          <w:szCs w:val="22"/>
        </w:rPr>
        <w:t xml:space="preserve">Phase 3v1 inverted the question: taking Kalshi as the best available signal, can it be applied to a quintile long-short ETF portfolio? The standard rubric statistics are: TLT IR = 0.573, XLF 20-day β = −0.115% (p = 0.079, R² = 0.146), TLT 5-day hit rate 31.8%. The diagnosis is structural: the T-7 expectation conflates the anticipated and surprise components of monetary policy, and the anticipated component is already in ETF prices before the meeting.</w:t>
      </w:r>
    </w:p>
    <w:p>
      <w:pPr>
        <w:spacing w:after="120" w:line="276"/>
        <w:jc w:val="both"/>
      </w:pPr>
      <w:r>
        <w:rPr>
          <w:rFonts w:ascii="Calibri" w:cs="Calibri" w:eastAsia="Calibri" w:hAnsi="Calibri"/>
          <w:sz w:val="22"/>
          <w:szCs w:val="22"/>
        </w:rPr>
        <w:t xml:space="preserve">Phase 3v2 — the empirical capstone — implemented the Bernanke &amp; Kuttner (2005) surprise specification with Kalshi T-7 expectations as the benchmark of expected policy. The surprise distribution is near-degenerate by regime construction: 14 hold meetings, 8 consensus cuts, and one genuine surprise (September 2024). As supporting evidence, corr(T-7, T-1) = 0.9993 — Kalshi reaches its final assessment a week before each announcement and does not materially revise. This is consistent with Diercks, Katz &amp; Wright (2026), whose Figure 1 shows the Kalshi MAE curve flattening near T-10. Under this regime, the Bernanke–Kuttner specification produces a null result on IEI (p = 0.963) and a nominally directional result on KRE (p = 0.116, R² = 0.020, economically correct sign for an accommodation-cycle regional-bank exposure).</w:t>
      </w:r>
    </w:p>
    <w:p>
      <w:pPr>
        <w:spacing w:after="120" w:line="276"/>
        <w:jc w:val="both"/>
      </w:pPr>
      <w:r>
        <w:rPr>
          <w:rFonts w:ascii="Calibri" w:cs="Calibri" w:eastAsia="Calibri" w:hAnsi="Calibri"/>
          <w:sz w:val="22"/>
          <w:szCs w:val="22"/>
        </w:rPr>
        <w:t xml:space="preserve">The unified finding: Kalshi is so accurate that the standard tools for trading around Fed announcements find almost nothing left to extract. The KRE same-day result is the only specification with directional content worth investigating in a larger sample. Everything else is consistent with a market that has already extracted all extractable information from publicly observable Fed communications and forward guidance.</w:t>
      </w:r>
    </w:p>
    <w:p>
      <w:pPr>
        <w:spacing w:after="120" w:line="276"/>
        <w:jc w:val="both"/>
      </w:pPr>
      <w:r>
        <w:rPr>
          <w:rFonts w:ascii="Calibri" w:cs="Calibri" w:eastAsia="Calibri" w:hAnsi="Calibri"/>
          <w:sz w:val="22"/>
          <w:szCs w:val="22"/>
        </w:rPr>
        <w:t xml:space="preserve">Future work should pursue three directions. First, extend the Kalshi sample backward via Polymarket to 2021 to include the hiking cycle and the 2022 75 bp surprise events. Second, use intraday TAQ data to isolate the canonical 30-minute Bernanke–Kuttner event window. Third, combine the Kalshi surprise residual with the FinBERT directional stance and the LM Uncertainty dimension — three approximately uncorrelated features documented across phases — in a composite specification that supplements rather than substitutes for the Kalshi consensus.</w:t>
      </w:r>
    </w:p>
    <w:p>
      <w:pPr>
        <w:pStyle w:val="Heading1"/>
        <w:pageBreakBefore/>
        <w:spacing w:after="160" w:before="0"/>
      </w:pPr>
      <w:r>
        <w:rPr>
          <w:rFonts w:ascii="Calibri" w:cs="Calibri" w:eastAsia="Calibri" w:hAnsi="Calibri"/>
          <w:b/>
          <w:bCs/>
          <w:sz w:val="28"/>
          <w:szCs w:val="28"/>
        </w:rPr>
        <w:t xml:space="preserve">References</w:t>
      </w:r>
    </w:p>
    <w:p>
      <w:pPr>
        <w:spacing w:after="120" w:line="276"/>
        <w:ind w:left="360" w:hanging="360"/>
        <w:jc w:val="left"/>
      </w:pPr>
      <w:r>
        <w:rPr>
          <w:rFonts w:ascii="Calibri" w:cs="Calibri" w:eastAsia="Calibri" w:hAnsi="Calibri"/>
          <w:sz w:val="22"/>
          <w:szCs w:val="22"/>
        </w:rPr>
        <w:t xml:space="preserve">Bernanke, B. S., &amp; Kuttner, K. N. (2005). What explains the stock market's reaction to Federal Reserve policy? Journal of Finance, 60(3), 1221–1257.</w:t>
      </w:r>
    </w:p>
    <w:p>
      <w:pPr>
        <w:spacing w:after="120" w:line="276"/>
        <w:ind w:left="360" w:hanging="360"/>
        <w:jc w:val="left"/>
      </w:pPr>
      <w:r>
        <w:rPr>
          <w:rFonts w:ascii="Calibri" w:cs="Calibri" w:eastAsia="Calibri" w:hAnsi="Calibri"/>
          <w:sz w:val="22"/>
          <w:szCs w:val="22"/>
        </w:rPr>
        <w:t xml:space="preserve">Chen, A. (2024). DistilBERT_FOMC_Classifier [Model]. HuggingFace. https://huggingface.co/achen0525/DistilBERT_FOMC_Classifier</w:t>
      </w:r>
    </w:p>
    <w:p>
      <w:pPr>
        <w:spacing w:after="120" w:line="276"/>
        <w:ind w:left="360" w:hanging="360"/>
        <w:jc w:val="left"/>
      </w:pPr>
      <w:r>
        <w:rPr>
          <w:rFonts w:ascii="Calibri" w:cs="Calibri" w:eastAsia="Calibri" w:hAnsi="Calibri"/>
          <w:sz w:val="22"/>
          <w:szCs w:val="22"/>
        </w:rPr>
        <w:t xml:space="preserve">Cieslak, A. (2018). Short-rate expectations and unexpected returns in Treasury bonds. Review of Financial Studies, 31(9), 3265–3306.</w:t>
      </w:r>
    </w:p>
    <w:p>
      <w:pPr>
        <w:spacing w:after="120" w:line="276"/>
        <w:ind w:left="360" w:hanging="360"/>
        <w:jc w:val="left"/>
      </w:pPr>
      <w:r>
        <w:rPr>
          <w:rFonts w:ascii="Calibri" w:cs="Calibri" w:eastAsia="Calibri" w:hAnsi="Calibri"/>
          <w:sz w:val="22"/>
          <w:szCs w:val="22"/>
        </w:rPr>
        <w:t xml:space="preserve">Cieslak, A., Morse, A., &amp; Vissing-Jørgensen, A. (2019). Stock returns over the FOMC cycle. Journal of Finance, 74(5), 2201–2248.</w:t>
      </w:r>
    </w:p>
    <w:p>
      <w:pPr>
        <w:spacing w:after="120" w:line="276"/>
        <w:ind w:left="360" w:hanging="360"/>
        <w:jc w:val="left"/>
      </w:pPr>
      <w:r>
        <w:rPr>
          <w:rFonts w:ascii="Calibri" w:cs="Calibri" w:eastAsia="Calibri" w:hAnsi="Calibri"/>
          <w:sz w:val="22"/>
          <w:szCs w:val="22"/>
        </w:rPr>
        <w:t xml:space="preserve">Diercks, K., Katz, J., &amp; Wright, J. (2026). Forecasting FOMC decisions with prediction markets. Federal Reserve Board, FEDS Notes (February 2026).</w:t>
      </w:r>
    </w:p>
    <w:p>
      <w:pPr>
        <w:spacing w:after="120" w:line="276"/>
        <w:ind w:left="360" w:hanging="360"/>
        <w:jc w:val="left"/>
      </w:pPr>
      <w:r>
        <w:rPr>
          <w:rFonts w:ascii="Calibri" w:cs="Calibri" w:eastAsia="Calibri" w:hAnsi="Calibri"/>
          <w:sz w:val="22"/>
          <w:szCs w:val="22"/>
        </w:rPr>
        <w:t xml:space="preserve">Gambacorta, L., et al. (2024). Central bank communication through LLM labeling. BIS Working Paper No. 1215.</w:t>
      </w:r>
    </w:p>
    <w:p>
      <w:pPr>
        <w:spacing w:after="120" w:line="276"/>
        <w:ind w:left="360" w:hanging="360"/>
        <w:jc w:val="left"/>
      </w:pPr>
      <w:r>
        <w:rPr>
          <w:rFonts w:ascii="Calibri" w:cs="Calibri" w:eastAsia="Calibri" w:hAnsi="Calibri"/>
          <w:sz w:val="22"/>
          <w:szCs w:val="22"/>
        </w:rPr>
        <w:t xml:space="preserve">Geiger, M., et al. (2025). MILA: LLM matching human accuracy on monetary policy stance. Deutsche Bundesbank Working Paper.</w:t>
      </w:r>
    </w:p>
    <w:p>
      <w:pPr>
        <w:spacing w:after="120" w:line="276"/>
        <w:ind w:left="360" w:hanging="360"/>
        <w:jc w:val="left"/>
      </w:pPr>
      <w:r>
        <w:rPr>
          <w:rFonts w:ascii="Calibri" w:cs="Calibri" w:eastAsia="Calibri" w:hAnsi="Calibri"/>
          <w:sz w:val="22"/>
          <w:szCs w:val="22"/>
        </w:rPr>
        <w:t xml:space="preserve">Gorodnichenko, Y., Pham, T., &amp; Talavera, O. (2023). The voice of monetary policy. American Economic Review, 113(2), 548–584.</w:t>
      </w:r>
    </w:p>
    <w:p>
      <w:pPr>
        <w:spacing w:after="120" w:line="276"/>
        <w:ind w:left="360" w:hanging="360"/>
        <w:jc w:val="left"/>
      </w:pPr>
      <w:r>
        <w:rPr>
          <w:rFonts w:ascii="Calibri" w:cs="Calibri" w:eastAsia="Calibri" w:hAnsi="Calibri"/>
          <w:sz w:val="22"/>
          <w:szCs w:val="22"/>
        </w:rPr>
        <w:t xml:space="preserve">Gössi, S., Chen, Z., Kim, W., Bermeitinger, B., &amp; Handschuh, S. (2023). FinBERT-FOMC: Fine-tuned FinBERT model with sentiment focus method for enhancing sentiment analysis of FOMC minutes. Proceedings of the Fourth ACM International Conference on AI in Finance (pp. 357–364). https://doi.org/10.1145/3604237.3626843</w:t>
      </w:r>
    </w:p>
    <w:p>
      <w:pPr>
        <w:spacing w:after="120" w:line="276"/>
        <w:ind w:left="360" w:hanging="360"/>
        <w:jc w:val="left"/>
      </w:pPr>
      <w:r>
        <w:rPr>
          <w:rFonts w:ascii="Calibri" w:cs="Calibri" w:eastAsia="Calibri" w:hAnsi="Calibri"/>
          <w:sz w:val="22"/>
          <w:szCs w:val="22"/>
        </w:rPr>
        <w:t xml:space="preserve">Grinold, R. C., &amp; Kahn, R. N. (1999). Active Portfolio Management: A Quantitative Approach for Providing Superior Returns and Controlling Risk (2nd ed.). McGraw-Hill.</w:t>
      </w:r>
    </w:p>
    <w:p>
      <w:pPr>
        <w:spacing w:after="120" w:line="276"/>
        <w:ind w:left="360" w:hanging="360"/>
        <w:jc w:val="left"/>
      </w:pPr>
      <w:r>
        <w:rPr>
          <w:rFonts w:ascii="Calibri" w:cs="Calibri" w:eastAsia="Calibri" w:hAnsi="Calibri"/>
          <w:sz w:val="22"/>
          <w:szCs w:val="22"/>
        </w:rPr>
        <w:t xml:space="preserve">Gu, S., et al. (2022). LM tonality on FOMC minutes. Working paper.</w:t>
      </w:r>
    </w:p>
    <w:p>
      <w:pPr>
        <w:spacing w:after="120" w:line="276"/>
        <w:ind w:left="360" w:hanging="360"/>
        <w:jc w:val="left"/>
      </w:pPr>
      <w:r>
        <w:rPr>
          <w:rFonts w:ascii="Calibri" w:cs="Calibri" w:eastAsia="Calibri" w:hAnsi="Calibri"/>
          <w:sz w:val="22"/>
          <w:szCs w:val="22"/>
        </w:rPr>
        <w:t xml:space="preserve">Gürkaynak, R. S., Sack, B., &amp; Swanson, E. (2005). The sensitivity of long-term interest rates to economic news: Evidence and implications for macroeconomic models. American Economic Review, 95(1), 425–436.</w:t>
      </w:r>
    </w:p>
    <w:p>
      <w:pPr>
        <w:spacing w:after="120" w:line="276"/>
        <w:ind w:left="360" w:hanging="360"/>
        <w:jc w:val="left"/>
      </w:pPr>
      <w:r>
        <w:rPr>
          <w:rFonts w:ascii="Calibri" w:cs="Calibri" w:eastAsia="Calibri" w:hAnsi="Calibri"/>
          <w:sz w:val="22"/>
          <w:szCs w:val="22"/>
        </w:rPr>
        <w:t xml:space="preserve">Kim, J., et al. (2026). Market-conditioned prompting for prediction markets. Working paper.</w:t>
      </w:r>
    </w:p>
    <w:p>
      <w:pPr>
        <w:spacing w:after="120" w:line="276"/>
        <w:ind w:left="360" w:hanging="360"/>
        <w:jc w:val="left"/>
      </w:pPr>
      <w:r>
        <w:rPr>
          <w:rFonts w:ascii="Calibri" w:cs="Calibri" w:eastAsia="Calibri" w:hAnsi="Calibri"/>
          <w:sz w:val="22"/>
          <w:szCs w:val="22"/>
        </w:rPr>
        <w:t xml:space="preserve">Kim, W., &amp; Lee, C. L. (2024). Bounded rationality in central bank communication. arXiv preprint arXiv:2411.04286.</w:t>
      </w:r>
    </w:p>
    <w:p>
      <w:pPr>
        <w:spacing w:after="120" w:line="276"/>
        <w:ind w:left="360" w:hanging="360"/>
        <w:jc w:val="left"/>
      </w:pPr>
      <w:r>
        <w:rPr>
          <w:rFonts w:ascii="Calibri" w:cs="Calibri" w:eastAsia="Calibri" w:hAnsi="Calibri"/>
          <w:sz w:val="22"/>
          <w:szCs w:val="22"/>
        </w:rPr>
        <w:t xml:space="preserve">Kim, W., Spörer, J., Lee, C. L., &amp; Handschuh, S. (2024). Is small really beautiful for central bank communication? Evaluating language models for finance: Llama-3-70B, GPT-4, FinBERT-FOMC, FinBERT, and VADER. Proceedings of the Fifth ACM International Conference on AI in Finance (pp. 626–633).</w:t>
      </w:r>
    </w:p>
    <w:p>
      <w:pPr>
        <w:spacing w:after="120" w:line="276"/>
        <w:ind w:left="360" w:hanging="360"/>
        <w:jc w:val="left"/>
      </w:pPr>
      <w:r>
        <w:rPr>
          <w:rFonts w:ascii="Calibri" w:cs="Calibri" w:eastAsia="Calibri" w:hAnsi="Calibri"/>
          <w:sz w:val="22"/>
          <w:szCs w:val="22"/>
        </w:rPr>
        <w:t xml:space="preserve">Kuttner, K. N. (2001). Monetary policy surprises and interest rates: Evidence from the fed funds futures market. Journal of Monetary Economics, 47(3), 523–544.</w:t>
      </w:r>
    </w:p>
    <w:p>
      <w:pPr>
        <w:spacing w:after="120" w:line="276"/>
        <w:ind w:left="360" w:hanging="360"/>
        <w:jc w:val="left"/>
      </w:pPr>
      <w:r>
        <w:rPr>
          <w:rFonts w:ascii="Calibri" w:cs="Calibri" w:eastAsia="Calibri" w:hAnsi="Calibri"/>
          <w:sz w:val="22"/>
          <w:szCs w:val="22"/>
        </w:rPr>
        <w:t xml:space="preserve">Loughran, T., &amp; McDonald, B. (2011). When is a liability not a liability? Textual analysis, dictionaries, and 10-Ks. Journal of Finance, 66(1), 35–65.</w:t>
      </w:r>
    </w:p>
    <w:p>
      <w:pPr>
        <w:spacing w:after="120" w:line="276"/>
        <w:ind w:left="360" w:hanging="360"/>
        <w:jc w:val="left"/>
      </w:pPr>
      <w:r>
        <w:rPr>
          <w:rFonts w:ascii="Calibri" w:cs="Calibri" w:eastAsia="Calibri" w:hAnsi="Calibri"/>
          <w:sz w:val="22"/>
          <w:szCs w:val="22"/>
        </w:rPr>
        <w:t xml:space="preserve">Sanh, V., Debut, L., Chaumond, J., &amp; Wolf, T. (2019). DistilBERT, a distilled version of BERT: smaller, faster, cheaper and lighter. arXiv preprint arXiv:1910.01108.</w:t>
      </w:r>
    </w:p>
    <w:p>
      <w:pPr>
        <w:spacing w:after="120" w:line="276"/>
        <w:ind w:left="360" w:hanging="360"/>
        <w:jc w:val="left"/>
      </w:pPr>
      <w:r>
        <w:rPr>
          <w:rFonts w:ascii="Calibri" w:cs="Calibri" w:eastAsia="Calibri" w:hAnsi="Calibri"/>
          <w:sz w:val="22"/>
          <w:szCs w:val="22"/>
        </w:rPr>
        <w:t xml:space="preserve">Schmeling, M., &amp; Wagner, A. (2024). Does central bank tone move asset prices? Journal of Financial and Quantitative Analysis, 59(1).</w:t>
      </w:r>
    </w:p>
    <w:p>
      <w:pPr>
        <w:spacing w:after="120" w:line="276"/>
        <w:ind w:left="360" w:hanging="360"/>
        <w:jc w:val="left"/>
      </w:pPr>
      <w:r>
        <w:rPr>
          <w:rFonts w:ascii="Calibri" w:cs="Calibri" w:eastAsia="Calibri" w:hAnsi="Calibri"/>
          <w:sz w:val="22"/>
          <w:szCs w:val="22"/>
        </w:rPr>
        <w:t xml:space="preserve">Sert, O., &amp; Usta, A. (2026). LM applied to FOMC text: Document-type effects. Working paper.</w:t>
      </w:r>
    </w:p>
    <w:p>
      <w:pPr>
        <w:spacing w:after="120" w:line="276"/>
        <w:ind w:left="360" w:hanging="360"/>
        <w:jc w:val="left"/>
      </w:pPr>
      <w:r>
        <w:rPr>
          <w:rFonts w:ascii="Calibri" w:cs="Calibri" w:eastAsia="Calibri" w:hAnsi="Calibri"/>
          <w:sz w:val="22"/>
          <w:szCs w:val="22"/>
        </w:rPr>
        <w:t xml:space="preserve">Shah, R., Paturi, S., &amp; Chava, S. (2023). Trillion dollar words: A new financial dataset, task &amp; market analysis. Proceedings of the 61st Annual Meeting of the Association for Computational Linguistics (pp. 6664–6679).</w:t>
      </w:r>
    </w:p>
    <w:p>
      <w:pPr>
        <w:spacing w:after="120" w:line="276"/>
        <w:ind w:left="360" w:hanging="360"/>
        <w:jc w:val="left"/>
      </w:pPr>
      <w:r>
        <w:rPr>
          <w:rFonts w:ascii="Calibri" w:cs="Calibri" w:eastAsia="Calibri" w:hAnsi="Calibri"/>
          <w:sz w:val="22"/>
          <w:szCs w:val="22"/>
        </w:rPr>
        <w:t xml:space="preserve">ZiweiChen. (2023). FinBERT-FOMC [Model]. HuggingFace. https://huggingface.co/ZiweiChen/FinBERT-FOMC</w:t>
      </w:r>
    </w:p>
    <w:p>
      <w:pPr>
        <w:pStyle w:val="Heading1"/>
        <w:pageBreakBefore/>
        <w:spacing w:after="160" w:before="0"/>
      </w:pPr>
      <w:r>
        <w:rPr>
          <w:rFonts w:ascii="Calibri" w:cs="Calibri" w:eastAsia="Calibri" w:hAnsi="Calibri"/>
          <w:b/>
          <w:bCs/>
          <w:sz w:val="28"/>
          <w:szCs w:val="28"/>
        </w:rPr>
        <w:t xml:space="preserve">Appendix A. Figure Reference Guide</w:t>
      </w:r>
    </w:p>
    <w:p>
      <w:pPr>
        <w:spacing w:after="120" w:line="276"/>
        <w:jc w:val="both"/>
      </w:pPr>
      <w:r>
        <w:rPr>
          <w:rFonts w:ascii="Calibri" w:cs="Calibri" w:eastAsia="Calibri" w:hAnsi="Calibri"/>
          <w:sz w:val="22"/>
          <w:szCs w:val="22"/>
        </w:rPr>
        <w:t xml:space="preserve">All figures referenced in the four phase notebooks are catalogued here. Figures are saved in the Google Drive project folder /FT370-s/final_project/figures/.</w:t>
      </w:r>
    </w:p>
    <w:p>
      <w:pPr>
        <w:pStyle w:val="Heading2"/>
        <w:spacing w:after="120" w:before="240"/>
      </w:pPr>
      <w:r>
        <w:rPr>
          <w:rFonts w:ascii="Calibri" w:cs="Calibri" w:eastAsia="Calibri" w:hAnsi="Calibri"/>
          <w:b/>
          <w:bCs/>
          <w:sz w:val="24"/>
          <w:szCs w:val="24"/>
        </w:rPr>
        <w:t xml:space="preserve">A.1 Phase 1 Figures (LM Signal and Financial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200"/>
        <w:gridCol w:w="3960"/>
      </w:tblGrid>
      <w:tr>
        <w:trPr>
          <w:tblHeader/>
        </w:trPr>
        <w:tc>
          <w:tcPr>
            <w:tcW w:type="dxa" w:w="8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Figure</w:t>
            </w:r>
          </w:p>
        </w:tc>
        <w:tc>
          <w:tcPr>
            <w:tcW w:type="dxa" w:w="24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Filename</w:t>
            </w:r>
          </w:p>
        </w:tc>
        <w:tc>
          <w:tcPr>
            <w:tcW w:type="dxa" w:w="22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Source notebook</w:t>
            </w:r>
          </w:p>
        </w:tc>
        <w:tc>
          <w:tcPr>
            <w:tcW w:type="dxa" w:w="396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Description</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A.1</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fig1_signal_timeseries.png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S1-S4 notebook, §2</w:t>
            </w:r>
          </w:p>
        </w:tc>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LM composite signal time series 2018–2026 overlaid with FOMC rate decisions in bps. Annotated with July 2023 hike era and Sep 2024 surprise cut.</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A.2</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fig2_validation.png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S1-S4 notebook, §4</w:t>
            </w:r>
          </w:p>
        </w:tc>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Horizontal bar chart of Spearman r values across all four validation layers. Pre-registered gate (r = 0.5) shown as vertical dashed line.</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A.3</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fig3_equity_backtest.png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S5-S10 notebook, §5</w:t>
            </w:r>
          </w:p>
        </w:tc>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Two-panel heatmap: p-values and β₁ coefficients for all 12 OLS regressions (4 ETFs × 3 horizons). Bonferroni threshold annotated.</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A.4</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fig4_calibration.png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S5-S10 notebook, §6</w:t>
            </w:r>
          </w:p>
        </w:tc>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Mention market calibration curve: empirical resolution rate vs. mean Kalshi price by probability bin, ECE = 0.097 annotated.</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A.5</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fig5_alpha_sweep.png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S5-S10 notebook, §6</w:t>
            </w:r>
          </w:p>
        </w:tc>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MixMCP α-sweep: Brier vs. α (0 = pure Kalshi, 1 = pure LM). Monotonic degradation, optimal α = 0.00.</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A.6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fig6_decision_distribution.png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S5-S10 notebook, §7</w:t>
            </w:r>
          </w:p>
        </w:tc>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Scatter of LM signal vs. Kalshi-implied expected rate change per meeting (N = 22) with trend line, Spearman r = 0.207, p = 0.354.</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A.7</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fig7_volume_tiers.png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S5-S10 notebook, §8</w:t>
            </w:r>
          </w:p>
        </w:tc>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Brier and ECE by volume quartile tier for mention markets (selection-effect interpretation).</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A.8</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fig8_structural_decomposition.png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Phase 2 notebook, §4.5</w:t>
            </w:r>
          </w:p>
        </w:tc>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Two panels: text-length distribution by validation dataset; bubble chart of Spearman r vs. mean text length (size = N).</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A.9</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fig9_lm_vs_llm_signal.png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Phase 2 notebook, §5.1</w:t>
            </w:r>
          </w:p>
        </w:tc>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Time series of LM composite (z-scored) and LLM direct classification (z-scored) — visual confirmation of r = −0.078.</w:t>
            </w:r>
          </w:p>
        </w:tc>
      </w:tr>
    </w:tbl>
    <w:p>
      <w:pPr>
        <w:pStyle w:val="Heading2"/>
        <w:spacing w:after="120" w:before="240"/>
      </w:pPr>
      <w:r>
        <w:rPr>
          <w:rFonts w:ascii="Calibri" w:cs="Calibri" w:eastAsia="Calibri" w:hAnsi="Calibri"/>
          <w:b/>
          <w:bCs/>
          <w:sz w:val="24"/>
          <w:szCs w:val="24"/>
        </w:rPr>
        <w:t xml:space="preserve">A.2 Phase 2 Figures (Transformer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200"/>
        <w:gridCol w:w="3960"/>
      </w:tblGrid>
      <w:tr>
        <w:trPr>
          <w:tblHeader/>
        </w:trPr>
        <w:tc>
          <w:tcPr>
            <w:tcW w:type="dxa" w:w="8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Figure</w:t>
            </w:r>
          </w:p>
        </w:tc>
        <w:tc>
          <w:tcPr>
            <w:tcW w:type="dxa" w:w="24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Filename</w:t>
            </w:r>
          </w:p>
        </w:tc>
        <w:tc>
          <w:tcPr>
            <w:tcW w:type="dxa" w:w="22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Source notebook</w:t>
            </w:r>
          </w:p>
        </w:tc>
        <w:tc>
          <w:tcPr>
            <w:tcW w:type="dxa" w:w="396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Description</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A.10</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fig10_transformer_comparison.png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Phase 2 notebook, §C/D</w:t>
            </w:r>
          </w:p>
        </w:tc>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Side-by-side confusion matrices: fine-tuned FinBERT-FOMC (F1 = 0.618, r = 0.348) and DistilBERT-FOMC zero-shot (F1 = 0.925, r = 0.866) on the Shah test set.</w:t>
            </w:r>
          </w:p>
        </w:tc>
      </w:tr>
    </w:tbl>
    <w:p>
      <w:pPr>
        <w:pStyle w:val="Heading2"/>
        <w:spacing w:after="120" w:before="240"/>
      </w:pPr>
      <w:r>
        <w:rPr>
          <w:rFonts w:ascii="Calibri" w:cs="Calibri" w:eastAsia="Calibri" w:hAnsi="Calibri"/>
          <w:b/>
          <w:bCs/>
          <w:sz w:val="24"/>
          <w:szCs w:val="24"/>
        </w:rPr>
        <w:t xml:space="preserve">A.3 Phase 3 Figures (Portfolio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200"/>
        <w:gridCol w:w="3960"/>
      </w:tblGrid>
      <w:tr>
        <w:trPr>
          <w:tblHeader/>
        </w:trPr>
        <w:tc>
          <w:tcPr>
            <w:tcW w:type="dxa" w:w="8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Figure</w:t>
            </w:r>
          </w:p>
        </w:tc>
        <w:tc>
          <w:tcPr>
            <w:tcW w:type="dxa" w:w="24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Filename</w:t>
            </w:r>
          </w:p>
        </w:tc>
        <w:tc>
          <w:tcPr>
            <w:tcW w:type="dxa" w:w="220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Source notebook</w:t>
            </w:r>
          </w:p>
        </w:tc>
        <w:tc>
          <w:tcPr>
            <w:tcW w:type="dxa" w:w="3960"/>
            <w:tcBorders>
              <w:top w:val="single" w:color="999999" w:sz="4"/>
              <w:left w:val="single" w:color="999999" w:sz="4"/>
              <w:bottom w:val="single" w:color="999999" w:sz="4"/>
              <w:right w:val="single" w:color="999999" w:sz="4"/>
            </w:tcBorders>
            <w:shd w:fill="E7E6E6" w:val="clear"/>
            <w:tcMar>
              <w:top w:type="dxa" w:w="60"/>
              <w:left w:type="dxa" w:w="100"/>
              <w:bottom w:type="dxa" w:w="60"/>
              <w:right w:type="dxa" w:w="100"/>
            </w:tcMar>
          </w:tcPr>
          <w:p>
            <w:pPr>
              <w:spacing w:after="0" w:line="240"/>
              <w:jc w:val="left"/>
            </w:pPr>
            <w:r>
              <w:rPr>
                <w:rFonts w:ascii="Calibri" w:cs="Calibri" w:eastAsia="Calibri" w:hAnsi="Calibri"/>
                <w:b/>
                <w:bCs/>
                <w:sz w:val="20"/>
                <w:szCs w:val="20"/>
              </w:rPr>
              <w:t xml:space="preserve">Description</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A.11</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fig11_fractile_returns.png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Part 3 notebook, §3.1</w:t>
            </w:r>
          </w:p>
        </w:tc>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2 × 4 grid of bar charts: 5-day and 20-day rows × TLT, IEF, XLF, SPY columns. F1–F5 quintile mean returns with benchmark line.</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A.12</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fig12_portfolio_summary.png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Part 3 notebook, §3.2–3.3</w:t>
            </w:r>
          </w:p>
        </w:tc>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Three-panel summary: IC heatmap across all 4 ETFs × 3 horizons; 5-day long–short return bar chart; TLT fractile returns at 5 days.</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A.13</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fig13_corr_t7_t1.png</w:t>
            </w:r>
          </w:p>
        </w:tc>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Phase 3v2 notebook, §2</w:t>
            </w:r>
          </w:p>
        </w:tc>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line="240"/>
              <w:jc w:val="left"/>
            </w:pPr>
            <w:r>
              <w:rPr>
                <w:rFonts w:ascii="Calibri" w:cs="Calibri" w:eastAsia="Calibri" w:hAnsi="Calibri"/>
                <w:b w:val="false"/>
                <w:bCs w:val="false"/>
                <w:sz w:val="20"/>
                <w:szCs w:val="20"/>
              </w:rPr>
              <w:t xml:space="preserve">Scatter of T-7 implied expected bps vs. T-1 implied expected bps across 23 meetings; Pearson 0.9993 annotated. Bimodality (hold cluster at 0; cut cluster near −25) visually apparent.</w:t>
            </w:r>
          </w:p>
        </w:tc>
      </w:tr>
    </w:tbl>
    <w:p>
      <w:pPr>
        <w:pStyle w:val="Heading1"/>
        <w:pageBreakBefore/>
        <w:spacing w:after="160" w:before="0"/>
      </w:pPr>
      <w:r>
        <w:rPr>
          <w:rFonts w:ascii="Calibri" w:cs="Calibri" w:eastAsia="Calibri" w:hAnsi="Calibri"/>
          <w:b/>
          <w:bCs/>
          <w:sz w:val="28"/>
          <w:szCs w:val="28"/>
        </w:rPr>
        <w:t xml:space="preserve">Appendix B. AI-Assistance Disclosure</w:t>
      </w:r>
    </w:p>
    <w:p>
      <w:pPr>
        <w:spacing w:after="120" w:line="276"/>
        <w:jc w:val="both"/>
      </w:pPr>
      <w:r>
        <w:rPr>
          <w:rFonts w:ascii="Calibri" w:cs="Calibri" w:eastAsia="Calibri" w:hAnsi="Calibri"/>
          <w:sz w:val="22"/>
          <w:szCs w:val="22"/>
        </w:rPr>
        <w:t xml:space="preserve">This project was developed in collaboration with Anthropic's Claude (Sonnet, Opus, and intermediate Sonnet/Opus variants accessed through Claude.ai and the Anthropic API). The disclosure below summarizes where and how Claude was used, consistent with the FT370 syllabus requirement that all prompts and methodology decisions be disclosed.</w:t>
      </w:r>
    </w:p>
    <w:p>
      <w:pPr>
        <w:pStyle w:val="ListParagraph"/>
        <w:numPr>
          <w:ilvl w:val="0"/>
          <w:numId w:val="2"/>
        </w:numPr>
        <w:spacing w:after="80" w:line="276"/>
      </w:pPr>
      <w:r>
        <w:rPr>
          <w:rFonts w:ascii="Calibri" w:cs="Calibri" w:eastAsia="Calibri" w:hAnsi="Calibri"/>
          <w:b/>
          <w:bCs/>
          <w:sz w:val="22"/>
          <w:szCs w:val="22"/>
        </w:rPr>
        <w:t xml:space="preserve">Layer 2 paragraph labels. </w:t>
      </w:r>
      <w:r>
        <w:rPr>
          <w:rFonts w:ascii="Calibri" w:cs="Calibri" w:eastAsia="Calibri" w:hAnsi="Calibri"/>
          <w:sz w:val="22"/>
          <w:szCs w:val="22"/>
        </w:rPr>
        <w:t xml:space="preserve">Claude Sonnet labeled 500 Powell-era paragraphs as Hawkish/Neutral/Dovish following a structured prompt that instructed it to focus on the conclusion clause of each paragraph. The prompt design was informed by a personal hand-coding session of 17 paragraphs that surfaced the [Setup → Hedge → Conclusion] rhetorical pattern.</w:t>
      </w:r>
    </w:p>
    <w:p>
      <w:pPr>
        <w:pStyle w:val="ListParagraph"/>
        <w:numPr>
          <w:ilvl w:val="0"/>
          <w:numId w:val="2"/>
        </w:numPr>
        <w:spacing w:after="80" w:line="276"/>
      </w:pPr>
      <w:r>
        <w:rPr>
          <w:rFonts w:ascii="Calibri" w:cs="Calibri" w:eastAsia="Calibri" w:hAnsi="Calibri"/>
          <w:b/>
          <w:bCs/>
          <w:sz w:val="22"/>
          <w:szCs w:val="22"/>
        </w:rPr>
        <w:t xml:space="preserve">Editorial assembly. </w:t>
      </w:r>
      <w:r>
        <w:rPr>
          <w:rFonts w:ascii="Calibri" w:cs="Calibri" w:eastAsia="Calibri" w:hAnsi="Calibri"/>
          <w:sz w:val="22"/>
          <w:szCs w:val="22"/>
        </w:rPr>
        <w:t xml:space="preserve">Claude assisted with assembling the four phase reports into this unified document, eliminating duplication of methodology and data sections, deduplicating references, and unifying narrative voice. All quantitative results — coefficients, p-values, F1 scores, Brier scores, IC, IR, hit rates — are taken from the original phase notebooks; no statistic was generated or estimated by the model in this assembly step.</w:t>
      </w:r>
    </w:p>
    <w:p>
      <w:pPr>
        <w:pStyle w:val="ListParagraph"/>
        <w:numPr>
          <w:ilvl w:val="0"/>
          <w:numId w:val="2"/>
        </w:numPr>
        <w:spacing w:after="80" w:line="276"/>
      </w:pPr>
      <w:r>
        <w:rPr>
          <w:rFonts w:ascii="Calibri" w:cs="Calibri" w:eastAsia="Calibri" w:hAnsi="Calibri"/>
          <w:b/>
          <w:bCs/>
          <w:sz w:val="22"/>
          <w:szCs w:val="22"/>
        </w:rPr>
        <w:t xml:space="preserve">Methodology review. </w:t>
      </w:r>
      <w:r>
        <w:rPr>
          <w:rFonts w:ascii="Calibri" w:cs="Calibri" w:eastAsia="Calibri" w:hAnsi="Calibri"/>
          <w:sz w:val="22"/>
          <w:szCs w:val="22"/>
        </w:rPr>
        <w:t xml:space="preserve">Claude provided framing review on the corr(T-7, T-1) = 0.9993 finding, advising that the regime decomposition (~14 holds + ~8 consensus cuts + Sep 2024) be presented as the primary explanation, with the correlation positioned as supporting evidence. This framing is reflected in Section 5.4.1.</w:t>
      </w:r>
    </w:p>
    <w:p>
      <w:pPr>
        <w:pStyle w:val="ListParagraph"/>
        <w:numPr>
          <w:ilvl w:val="0"/>
          <w:numId w:val="2"/>
        </w:numPr>
        <w:spacing w:after="80" w:line="276"/>
      </w:pPr>
      <w:r>
        <w:rPr>
          <w:rFonts w:ascii="Calibri" w:cs="Calibri" w:eastAsia="Calibri" w:hAnsi="Calibri"/>
          <w:b/>
          <w:bCs/>
          <w:sz w:val="22"/>
          <w:szCs w:val="22"/>
        </w:rPr>
        <w:t xml:space="preserve">Code review. </w:t>
      </w:r>
      <w:r>
        <w:rPr>
          <w:rFonts w:ascii="Calibri" w:cs="Calibri" w:eastAsia="Calibri" w:hAnsi="Calibri"/>
          <w:sz w:val="22"/>
          <w:szCs w:val="22"/>
        </w:rPr>
        <w:t xml:space="preserve">Claude reviewed pipeline code for the Snowflake and Kalshi data extraction, the FinBERT fine-tuning loop, and the MixMCP α-sweep utilities. All final code was executed by the author; no model-generated code was deployed unverified.</w:t>
      </w:r>
    </w:p>
    <w:p>
      <w:pPr>
        <w:spacing w:after="120" w:line="276"/>
        <w:jc w:val="both"/>
      </w:pPr>
      <w:r>
        <w:rPr>
          <w:rFonts w:ascii="Calibri" w:cs="Calibri" w:eastAsia="Calibri" w:hAnsi="Calibri"/>
          <w:sz w:val="22"/>
          <w:szCs w:val="22"/>
        </w:rPr>
        <w:t xml:space="preserve">All interpretations, methodological decisions, and conclusions in this report are the author's own. Where the AI-generated paragraph labels were used, they are clearly identified as Layer 2 (LLM Claude) labels and are reported alongside the independent Layer 3 (Shah et al.) external benchmark, which converges on the same r ≈ 0.06–0.07 result and was not generated by the AI.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sz w:val="18"/>
        <w:szCs w:val="18"/>
      </w:rPr>
      <w:t xml:space="preserve">Saliou — FT370 Final Report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00000"/>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000000"/>
      <w:sz w:val="24"/>
      <w:szCs w:val="24"/>
    </w:rPr>
  </w:style>
  <w:style w:type="paragraph" w:styleId="Heading3">
    <w:name w:val="Heading 3"/>
    <w:basedOn w:val="Normal"/>
    <w:next w:val="Normal"/>
    <w:qFormat/>
    <w:pPr>
      <w:spacing w:after="80" w:before="180"/>
      <w:outlineLvl w:val="2"/>
    </w:pPr>
    <w:rPr>
      <w:rFonts w:ascii="Calibri" w:cs="Calibri" w:eastAsia="Calibri" w:hAnsi="Calibri"/>
      <w:b/>
      <w:bCs/>
      <w:i/>
      <w:i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FT370 Final Report — Can a Computer Read the Fed?</dc:title>
  <dc:creator>Nic Saliou</dc:creator>
  <dc:description>NLP, Prediction Markets, and FOMC Informational Efficiency</dc:description>
  <cp:lastModifiedBy>Un-named</cp:lastModifiedBy>
  <cp:revision>1</cp:revision>
  <dcterms:created xsi:type="dcterms:W3CDTF">2026-05-04T16:29:54.703Z</dcterms:created>
  <dcterms:modified xsi:type="dcterms:W3CDTF">2026-05-04T16:29:54.704Z</dcterms:modified>
</cp:coreProperties>
</file>

<file path=docProps/custom.xml><?xml version="1.0" encoding="utf-8"?>
<Properties xmlns="http://schemas.openxmlformats.org/officeDocument/2006/custom-properties" xmlns:vt="http://schemas.openxmlformats.org/officeDocument/2006/docPropsVTypes"/>
</file>