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91C4" w14:textId="1324CAA7" w:rsidR="00B6381C" w:rsidRPr="00887BA4" w:rsidRDefault="00B6381C" w:rsidP="00551394">
      <w:pPr>
        <w:pStyle w:val="1"/>
        <w:spacing w:line="240" w:lineRule="auto"/>
        <w:jc w:val="both"/>
        <w:rPr>
          <w:i/>
        </w:rPr>
      </w:pPr>
      <w:r w:rsidRPr="00D45EBE">
        <w:rPr>
          <w:sz w:val="30"/>
          <w:szCs w:val="30"/>
        </w:rPr>
        <w:t>Составление математической структурной схемы (МСС) САР в первом прибли</w:t>
      </w:r>
      <w:r>
        <w:rPr>
          <w:sz w:val="30"/>
          <w:szCs w:val="30"/>
        </w:rPr>
        <w:t>ж</w:t>
      </w:r>
      <w:r w:rsidRPr="00D45EBE">
        <w:rPr>
          <w:sz w:val="30"/>
          <w:szCs w:val="30"/>
        </w:rPr>
        <w:t>ении</w:t>
      </w:r>
      <w:r>
        <w:rPr>
          <w:sz w:val="30"/>
          <w:szCs w:val="30"/>
        </w:rPr>
        <w:t>.</w:t>
      </w:r>
    </w:p>
    <w:p w14:paraId="5ADCF725" w14:textId="11611F29" w:rsidR="00212124" w:rsidRDefault="008E678B" w:rsidP="00887BA4">
      <w:pPr>
        <w:ind w:left="-1276"/>
        <w:jc w:val="center"/>
      </w:pPr>
      <w:r>
        <w:object w:dxaOrig="13272" w:dyaOrig="6024" w14:anchorId="4AD36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65pt;height:250.9pt" o:ole="">
            <v:imagedata r:id="rId5" o:title=""/>
          </v:shape>
          <o:OLEObject Type="Embed" ProgID="Visio.Drawing.15" ShapeID="_x0000_i1025" DrawAspect="Content" ObjectID="_1763747439" r:id="rId6"/>
        </w:object>
      </w:r>
    </w:p>
    <w:p w14:paraId="6FC62965" w14:textId="53B6895B" w:rsidR="00AE26E1" w:rsidRPr="00AE26E1" w:rsidRDefault="00B6381C" w:rsidP="00AE26E1">
      <w:pPr>
        <w:ind w:left="-284" w:firstLine="284"/>
        <w:jc w:val="center"/>
        <w:rPr>
          <w:sz w:val="22"/>
          <w:szCs w:val="22"/>
        </w:rPr>
      </w:pPr>
      <w:r>
        <w:br/>
      </w:r>
      <w:r w:rsidRPr="00B6381C">
        <w:rPr>
          <w:sz w:val="22"/>
          <w:szCs w:val="22"/>
        </w:rPr>
        <w:t>Рисунок 1 – Исходная МСС, полученная на основе сигнального графа</w:t>
      </w:r>
    </w:p>
    <w:p w14:paraId="60801169" w14:textId="53B6895B" w:rsidR="00B6381C" w:rsidRDefault="00B6381C" w:rsidP="00B6381C">
      <w:pPr>
        <w:ind w:left="-284" w:firstLine="284"/>
        <w:jc w:val="center"/>
        <w:rPr>
          <w:sz w:val="22"/>
          <w:szCs w:val="22"/>
        </w:rPr>
      </w:pPr>
    </w:p>
    <w:p w14:paraId="3A78D34F" w14:textId="2BC520BB" w:rsidR="00AE26E1" w:rsidRPr="00AE26E1" w:rsidRDefault="00AE26E1" w:rsidP="00A45D6D">
      <w:pPr>
        <w:spacing w:line="360" w:lineRule="auto"/>
        <w:ind w:left="-284" w:firstLine="992"/>
        <w:jc w:val="both"/>
        <w:rPr>
          <w:sz w:val="28"/>
          <w:szCs w:val="28"/>
        </w:rPr>
      </w:pPr>
      <w:r w:rsidRPr="00AE26E1">
        <w:rPr>
          <w:sz w:val="28"/>
          <w:szCs w:val="28"/>
        </w:rPr>
        <w:t>Для</w:t>
      </w:r>
      <w:r>
        <w:rPr>
          <w:sz w:val="28"/>
          <w:szCs w:val="28"/>
        </w:rPr>
        <w:t xml:space="preserve"> данной САР внешним возмущением является момент силы сопротивления </w:t>
      </w:r>
      <w:r>
        <w:rPr>
          <w:sz w:val="28"/>
          <w:szCs w:val="28"/>
          <w:lang w:val="en-US"/>
        </w:rPr>
        <w:t>m</w:t>
      </w:r>
      <w:r w:rsidRPr="00AE26E1">
        <w:rPr>
          <w:sz w:val="28"/>
          <w:szCs w:val="28"/>
          <w:vertAlign w:val="subscript"/>
        </w:rPr>
        <w:t>н</w:t>
      </w:r>
      <w:r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На неё действуют и другие возмущения, но рассматривается в данном случае только момент силы сопротивления. Итак, необходимо преобразовать исходную схему к одноконтурному виду, удобному для решения задачи анализа системы.</w:t>
      </w:r>
    </w:p>
    <w:p w14:paraId="4327F956" w14:textId="0CB2B463" w:rsidR="00B6381C" w:rsidRDefault="00D1319F" w:rsidP="00D027E1">
      <w:pPr>
        <w:spacing w:line="360" w:lineRule="auto"/>
        <w:ind w:left="-284"/>
        <w:jc w:val="both"/>
        <w:rPr>
          <w:sz w:val="28"/>
          <w:szCs w:val="28"/>
        </w:rPr>
      </w:pPr>
      <w:r w:rsidRPr="00D1319F">
        <w:rPr>
          <w:b/>
          <w:bCs/>
          <w:sz w:val="28"/>
          <w:szCs w:val="28"/>
        </w:rPr>
        <w:t>1 шаг.</w:t>
      </w:r>
      <w:r>
        <w:rPr>
          <w:sz w:val="28"/>
          <w:szCs w:val="28"/>
        </w:rPr>
        <w:t xml:space="preserve"> </w:t>
      </w:r>
      <w:r w:rsidR="00D027E1">
        <w:rPr>
          <w:sz w:val="28"/>
          <w:szCs w:val="28"/>
        </w:rPr>
        <w:t xml:space="preserve">Будем считать, что </w:t>
      </w:r>
      <w:r w:rsidR="00B6381C">
        <w:rPr>
          <w:sz w:val="28"/>
          <w:szCs w:val="28"/>
          <w:lang w:val="en-US"/>
        </w:rPr>
        <w:t>U</w:t>
      </w:r>
      <w:proofErr w:type="spellStart"/>
      <w:r w:rsidR="00B6381C" w:rsidRPr="00B6381C">
        <w:rPr>
          <w:sz w:val="28"/>
          <w:szCs w:val="28"/>
          <w:vertAlign w:val="subscript"/>
        </w:rPr>
        <w:t>вг</w:t>
      </w:r>
      <w:proofErr w:type="spellEnd"/>
      <w:r w:rsidR="00B6381C">
        <w:rPr>
          <w:sz w:val="28"/>
          <w:szCs w:val="28"/>
          <w:vertAlign w:val="subscript"/>
        </w:rPr>
        <w:t xml:space="preserve"> </w:t>
      </w:r>
      <w:r w:rsidR="00B6381C">
        <w:rPr>
          <w:sz w:val="28"/>
          <w:szCs w:val="28"/>
        </w:rPr>
        <w:t xml:space="preserve">и </w:t>
      </w:r>
      <w:r w:rsidR="00B6381C">
        <w:rPr>
          <w:sz w:val="28"/>
          <w:szCs w:val="28"/>
          <w:lang w:val="en-US"/>
        </w:rPr>
        <w:t>U</w:t>
      </w:r>
      <w:proofErr w:type="spellStart"/>
      <w:r w:rsidR="00B6381C" w:rsidRPr="00B6381C">
        <w:rPr>
          <w:sz w:val="28"/>
          <w:szCs w:val="28"/>
          <w:vertAlign w:val="subscript"/>
        </w:rPr>
        <w:t>вд</w:t>
      </w:r>
      <w:proofErr w:type="spellEnd"/>
      <w:r w:rsidR="00B6381C">
        <w:rPr>
          <w:sz w:val="28"/>
          <w:szCs w:val="28"/>
        </w:rPr>
        <w:t xml:space="preserve"> </w:t>
      </w:r>
      <w:r w:rsidR="00D027E1">
        <w:rPr>
          <w:sz w:val="28"/>
          <w:szCs w:val="28"/>
        </w:rPr>
        <w:t xml:space="preserve">не </w:t>
      </w:r>
      <w:r w:rsidR="00B6381C">
        <w:rPr>
          <w:sz w:val="28"/>
          <w:szCs w:val="28"/>
        </w:rPr>
        <w:t>изменяются</w:t>
      </w:r>
      <w:r w:rsidR="00D027E1">
        <w:rPr>
          <w:sz w:val="28"/>
          <w:szCs w:val="28"/>
        </w:rPr>
        <w:t xml:space="preserve">. Поэтому, </w:t>
      </w:r>
      <w:r w:rsidR="001A1347">
        <w:rPr>
          <w:sz w:val="28"/>
          <w:szCs w:val="28"/>
        </w:rPr>
        <w:t xml:space="preserve">поскольку при рассмотрении </w:t>
      </w:r>
      <w:r w:rsidR="00D027E1">
        <w:rPr>
          <w:sz w:val="28"/>
          <w:szCs w:val="28"/>
        </w:rPr>
        <w:t>данн</w:t>
      </w:r>
      <w:r w:rsidR="001A1347">
        <w:rPr>
          <w:sz w:val="28"/>
          <w:szCs w:val="28"/>
        </w:rPr>
        <w:t xml:space="preserve">ой </w:t>
      </w:r>
      <w:r w:rsidR="00D027E1">
        <w:rPr>
          <w:sz w:val="28"/>
          <w:szCs w:val="28"/>
        </w:rPr>
        <w:t>систем</w:t>
      </w:r>
      <w:r w:rsidR="001A1347">
        <w:rPr>
          <w:sz w:val="28"/>
          <w:szCs w:val="28"/>
        </w:rPr>
        <w:t>ы</w:t>
      </w:r>
      <w:r w:rsidR="00D027E1">
        <w:rPr>
          <w:sz w:val="28"/>
          <w:szCs w:val="28"/>
        </w:rPr>
        <w:t xml:space="preserve"> в режиме малых отклонений, </w:t>
      </w:r>
      <w:r w:rsidR="001A1347">
        <w:rPr>
          <w:sz w:val="28"/>
          <w:szCs w:val="28"/>
        </w:rPr>
        <w:t>изменение</w:t>
      </w:r>
      <w:r w:rsidR="00D027E1">
        <w:rPr>
          <w:sz w:val="28"/>
          <w:szCs w:val="28"/>
        </w:rPr>
        <w:t xml:space="preserve"> данных напряжений будет равно нулю (</w:t>
      </w:r>
      <w:r w:rsidR="00B6381C">
        <w:rPr>
          <w:sz w:val="28"/>
          <w:szCs w:val="28"/>
        </w:rPr>
        <w:t>производные</w:t>
      </w:r>
      <w:r w:rsidR="00D027E1">
        <w:rPr>
          <w:sz w:val="28"/>
          <w:szCs w:val="28"/>
        </w:rPr>
        <w:t xml:space="preserve"> констант</w:t>
      </w:r>
      <w:r w:rsidR="00B6381C">
        <w:rPr>
          <w:sz w:val="28"/>
          <w:szCs w:val="28"/>
        </w:rPr>
        <w:t xml:space="preserve"> равны нулю</w:t>
      </w:r>
      <w:r w:rsidR="00D027E1">
        <w:rPr>
          <w:sz w:val="28"/>
          <w:szCs w:val="28"/>
        </w:rPr>
        <w:t>)</w:t>
      </w:r>
      <w:r w:rsidR="001A1347">
        <w:rPr>
          <w:sz w:val="28"/>
          <w:szCs w:val="28"/>
        </w:rPr>
        <w:t xml:space="preserve"> и их можно исключить из схемы</w:t>
      </w:r>
      <w:r w:rsidR="00B6381C">
        <w:rPr>
          <w:sz w:val="28"/>
          <w:szCs w:val="28"/>
        </w:rPr>
        <w:t>.</w:t>
      </w:r>
      <w:r w:rsidR="00D027E1">
        <w:rPr>
          <w:sz w:val="28"/>
          <w:szCs w:val="28"/>
        </w:rPr>
        <w:t xml:space="preserve"> </w:t>
      </w:r>
      <w:r w:rsidR="001A1347">
        <w:rPr>
          <w:sz w:val="28"/>
          <w:szCs w:val="28"/>
        </w:rPr>
        <w:t>Таким образом, и</w:t>
      </w:r>
      <w:r w:rsidR="00B6381C">
        <w:rPr>
          <w:sz w:val="28"/>
          <w:szCs w:val="28"/>
        </w:rPr>
        <w:t>меем следующую схему (рисунок 2):</w:t>
      </w:r>
    </w:p>
    <w:p w14:paraId="04B1E93E" w14:textId="497D9C50" w:rsidR="00D1319F" w:rsidRDefault="009A6221" w:rsidP="009A6221">
      <w:pPr>
        <w:spacing w:line="360" w:lineRule="auto"/>
        <w:ind w:left="-709"/>
        <w:jc w:val="center"/>
      </w:pPr>
      <w:r>
        <w:object w:dxaOrig="12696" w:dyaOrig="3552" w14:anchorId="201C669C">
          <v:shape id="_x0000_i1026" type="#_x0000_t75" style="width:530.75pt;height:147.8pt" o:ole="">
            <v:imagedata r:id="rId7" o:title=""/>
          </v:shape>
          <o:OLEObject Type="Embed" ProgID="Visio.Drawing.15" ShapeID="_x0000_i1026" DrawAspect="Content" ObjectID="_1763747440" r:id="rId8"/>
        </w:object>
      </w:r>
    </w:p>
    <w:p w14:paraId="6E49252F" w14:textId="35A7D701" w:rsidR="00D1319F" w:rsidRDefault="00D1319F" w:rsidP="004F6E56">
      <w:pPr>
        <w:spacing w:after="240" w:line="360" w:lineRule="auto"/>
        <w:ind w:left="-284"/>
        <w:jc w:val="center"/>
      </w:pPr>
      <w:r>
        <w:t>Рисунок 2 – Первый шаг преобразования схемы</w:t>
      </w:r>
    </w:p>
    <w:p w14:paraId="02F01178" w14:textId="67467F2A" w:rsidR="00D1319F" w:rsidRDefault="004F6E56" w:rsidP="00F02AF1">
      <w:pPr>
        <w:spacing w:line="360" w:lineRule="auto"/>
        <w:ind w:left="-284"/>
        <w:jc w:val="both"/>
        <w:rPr>
          <w:sz w:val="28"/>
          <w:szCs w:val="28"/>
        </w:rPr>
      </w:pPr>
      <w:r w:rsidRPr="004F6E56">
        <w:rPr>
          <w:b/>
          <w:bCs/>
          <w:sz w:val="28"/>
          <w:szCs w:val="28"/>
        </w:rPr>
        <w:lastRenderedPageBreak/>
        <w:t>2 шаг.</w:t>
      </w:r>
      <w:r>
        <w:rPr>
          <w:sz w:val="28"/>
          <w:szCs w:val="28"/>
        </w:rPr>
        <w:t xml:space="preserve"> </w:t>
      </w:r>
      <w:r w:rsidR="003F0664">
        <w:rPr>
          <w:sz w:val="28"/>
          <w:szCs w:val="28"/>
        </w:rPr>
        <w:t>Объедини</w:t>
      </w:r>
      <w:r w:rsidR="000F1A5A">
        <w:rPr>
          <w:sz w:val="28"/>
          <w:szCs w:val="28"/>
        </w:rPr>
        <w:t>м</w:t>
      </w:r>
      <w:r>
        <w:rPr>
          <w:sz w:val="28"/>
          <w:szCs w:val="28"/>
        </w:rPr>
        <w:t xml:space="preserve"> последовательны</w:t>
      </w:r>
      <w:r w:rsidR="00427736">
        <w:rPr>
          <w:sz w:val="28"/>
          <w:szCs w:val="28"/>
        </w:rPr>
        <w:t>е</w:t>
      </w:r>
      <w:r>
        <w:rPr>
          <w:sz w:val="28"/>
          <w:szCs w:val="28"/>
        </w:rPr>
        <w:t xml:space="preserve"> соединени</w:t>
      </w:r>
      <w:r w:rsidR="00427736">
        <w:rPr>
          <w:sz w:val="28"/>
          <w:szCs w:val="28"/>
        </w:rPr>
        <w:t>я</w:t>
      </w:r>
      <w:r>
        <w:rPr>
          <w:sz w:val="28"/>
          <w:szCs w:val="28"/>
        </w:rPr>
        <w:t xml:space="preserve"> в прямой цепи (рисунок 3) по формуле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>:</w:t>
      </w:r>
    </w:p>
    <w:p w14:paraId="3AA16E17" w14:textId="77875333" w:rsidR="00D1319F" w:rsidRDefault="00887BA4" w:rsidP="00D1319F">
      <w:pPr>
        <w:spacing w:line="360" w:lineRule="auto"/>
        <w:ind w:left="-284"/>
        <w:jc w:val="center"/>
      </w:pPr>
      <w:r>
        <w:object w:dxaOrig="9108" w:dyaOrig="3264" w14:anchorId="642A2121">
          <v:shape id="_x0000_i1027" type="#_x0000_t75" style="width:391.1pt;height:140.2pt" o:ole="">
            <v:imagedata r:id="rId9" o:title=""/>
          </v:shape>
          <o:OLEObject Type="Embed" ProgID="Visio.Drawing.15" ShapeID="_x0000_i1027" DrawAspect="Content" ObjectID="_1763747441" r:id="rId10"/>
        </w:object>
      </w:r>
    </w:p>
    <w:p w14:paraId="0B68F883" w14:textId="7570E7DC" w:rsidR="004F6E56" w:rsidRDefault="004F6E56" w:rsidP="004F6E56">
      <w:pPr>
        <w:spacing w:after="240" w:line="360" w:lineRule="auto"/>
        <w:ind w:left="-284"/>
        <w:jc w:val="center"/>
      </w:pPr>
      <w:r>
        <w:t>Рисунок 3 – Второй шаг преобразования схемы</w:t>
      </w:r>
    </w:p>
    <w:p w14:paraId="0ADF3CBF" w14:textId="4346DD5B" w:rsidR="00D1319F" w:rsidRPr="00D6271C" w:rsidRDefault="004F6E56" w:rsidP="00F02AF1">
      <w:pPr>
        <w:spacing w:line="360" w:lineRule="auto"/>
        <w:ind w:left="-284"/>
        <w:jc w:val="both"/>
        <w:rPr>
          <w:i/>
          <w:sz w:val="28"/>
          <w:szCs w:val="28"/>
        </w:rPr>
      </w:pPr>
      <w:r>
        <w:rPr>
          <w:b/>
          <w:bCs/>
          <w:sz w:val="28"/>
          <w:szCs w:val="28"/>
        </w:rPr>
        <w:t>3 шаг.</w:t>
      </w:r>
      <w:r>
        <w:rPr>
          <w:sz w:val="28"/>
          <w:szCs w:val="28"/>
        </w:rPr>
        <w:t xml:space="preserve"> </w:t>
      </w:r>
      <w:r w:rsidR="00227D9D">
        <w:rPr>
          <w:sz w:val="28"/>
          <w:szCs w:val="28"/>
        </w:rPr>
        <w:t xml:space="preserve">Поскольку скорость вращения генератора </w:t>
      </w:r>
      <w:proofErr w:type="spellStart"/>
      <w:r w:rsidR="00227D9D">
        <w:rPr>
          <w:rFonts w:eastAsiaTheme="minorHAnsi"/>
          <w:color w:val="000000"/>
          <w:lang w:eastAsia="en-US"/>
        </w:rPr>
        <w:t>ω</w:t>
      </w:r>
      <w:r w:rsidR="00227D9D" w:rsidRPr="00227D9D">
        <w:rPr>
          <w:rFonts w:eastAsiaTheme="minorHAnsi"/>
          <w:color w:val="000000"/>
          <w:vertAlign w:val="subscript"/>
          <w:lang w:eastAsia="en-US"/>
        </w:rPr>
        <w:t>г</w:t>
      </w:r>
      <w:proofErr w:type="spellEnd"/>
      <w:r w:rsidR="00227D9D">
        <w:rPr>
          <w:sz w:val="28"/>
          <w:szCs w:val="28"/>
        </w:rPr>
        <w:t xml:space="preserve"> является постоянной, в режиме малых отклонений данная величина будет равна нулю и её можно убрать из схемы. Далее выполним п</w:t>
      </w:r>
      <w:r>
        <w:rPr>
          <w:sz w:val="28"/>
          <w:szCs w:val="28"/>
        </w:rPr>
        <w:t>еренос сумматора через звено</w:t>
      </w:r>
      <w:r w:rsidRPr="004F6E5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442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преобразование последовательных соединений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(рисунок 4):</w:t>
      </w:r>
    </w:p>
    <w:p w14:paraId="37D21740" w14:textId="71A05D1F" w:rsidR="00D1319F" w:rsidRDefault="00AE26E1" w:rsidP="00D1319F">
      <w:pPr>
        <w:spacing w:line="360" w:lineRule="auto"/>
        <w:ind w:left="-284"/>
        <w:jc w:val="center"/>
      </w:pPr>
      <w:r>
        <w:object w:dxaOrig="7417" w:dyaOrig="3709" w14:anchorId="4CE112F0">
          <v:shape id="_x0000_i1032" type="#_x0000_t75" style="width:370.9pt;height:185.45pt" o:ole="">
            <v:imagedata r:id="rId11" o:title=""/>
          </v:shape>
          <o:OLEObject Type="Embed" ProgID="Visio.Drawing.15" ShapeID="_x0000_i1032" DrawAspect="Content" ObjectID="_1763747442" r:id="rId12"/>
        </w:object>
      </w:r>
    </w:p>
    <w:p w14:paraId="4B59A191" w14:textId="40A44E09" w:rsidR="004F6E56" w:rsidRDefault="004F6E56" w:rsidP="004F6E56">
      <w:pPr>
        <w:spacing w:after="240" w:line="360" w:lineRule="auto"/>
        <w:ind w:left="-284"/>
        <w:jc w:val="center"/>
      </w:pPr>
      <w:r>
        <w:t xml:space="preserve">Рисунок 4 – </w:t>
      </w:r>
      <w:r w:rsidR="00B626F8">
        <w:t>Третий</w:t>
      </w:r>
      <w:r>
        <w:t xml:space="preserve"> шаг преобразования схемы</w:t>
      </w:r>
    </w:p>
    <w:p w14:paraId="0043BCDE" w14:textId="574E12A1" w:rsidR="004F6E56" w:rsidRDefault="00AE26E1" w:rsidP="00F02AF1">
      <w:pPr>
        <w:spacing w:line="360" w:lineRule="auto"/>
        <w:ind w:left="-284"/>
        <w:jc w:val="both"/>
        <w:rPr>
          <w:sz w:val="28"/>
          <w:szCs w:val="28"/>
        </w:rPr>
      </w:pPr>
      <w:r w:rsidRPr="00AE26E1">
        <w:rPr>
          <w:b/>
          <w:bCs/>
          <w:sz w:val="28"/>
          <w:szCs w:val="28"/>
        </w:rPr>
        <w:t>4 шаг.</w:t>
      </w:r>
      <w:r w:rsidR="003C1936">
        <w:rPr>
          <w:b/>
          <w:bCs/>
          <w:sz w:val="28"/>
          <w:szCs w:val="28"/>
        </w:rPr>
        <w:t xml:space="preserve"> </w:t>
      </w:r>
      <w:r w:rsidR="003C1936">
        <w:rPr>
          <w:sz w:val="28"/>
          <w:szCs w:val="28"/>
        </w:rPr>
        <w:t>Для сведения схемы к виду одноконтурной необходимо отделить ветвь внутренней обратной связи от внешней (главной) обратной связи, а затем выполнить перенос сумматора через полученный узел (рисунок 5</w:t>
      </w:r>
      <w:r w:rsidR="00C757A6">
        <w:rPr>
          <w:sz w:val="28"/>
          <w:szCs w:val="28"/>
        </w:rPr>
        <w:t>.1</w:t>
      </w:r>
      <w:r w:rsidR="003C1936">
        <w:rPr>
          <w:sz w:val="28"/>
          <w:szCs w:val="28"/>
        </w:rPr>
        <w:t>):</w:t>
      </w:r>
    </w:p>
    <w:p w14:paraId="692D7DCE" w14:textId="11404771" w:rsidR="00C757A6" w:rsidRDefault="00C757A6" w:rsidP="00F02AF1">
      <w:pPr>
        <w:spacing w:line="360" w:lineRule="auto"/>
        <w:ind w:left="-284"/>
        <w:jc w:val="both"/>
        <w:rPr>
          <w:sz w:val="28"/>
          <w:szCs w:val="28"/>
        </w:rPr>
      </w:pPr>
    </w:p>
    <w:p w14:paraId="6A017A56" w14:textId="002E104B" w:rsidR="00C757A6" w:rsidRDefault="00C757A6" w:rsidP="00F02AF1">
      <w:pPr>
        <w:spacing w:line="360" w:lineRule="auto"/>
        <w:ind w:left="-284"/>
        <w:jc w:val="both"/>
      </w:pPr>
      <w:r>
        <w:object w:dxaOrig="9289" w:dyaOrig="3288" w14:anchorId="476B732B">
          <v:shape id="_x0000_i1047" type="#_x0000_t75" style="width:464.2pt;height:164.2pt" o:ole="">
            <v:imagedata r:id="rId13" o:title=""/>
          </v:shape>
          <o:OLEObject Type="Embed" ProgID="Visio.Drawing.15" ShapeID="_x0000_i1047" DrawAspect="Content" ObjectID="_1763747443" r:id="rId14"/>
        </w:object>
      </w:r>
    </w:p>
    <w:p w14:paraId="2FFFC25E" w14:textId="152E4788" w:rsidR="00C757A6" w:rsidRDefault="00C757A6" w:rsidP="00C757A6">
      <w:pPr>
        <w:spacing w:line="360" w:lineRule="auto"/>
        <w:ind w:left="-284"/>
        <w:jc w:val="center"/>
      </w:pPr>
      <w:r>
        <w:t>Рисунок 5.1 – Четвёртый шаг преобразования схемы</w:t>
      </w:r>
    </w:p>
    <w:p w14:paraId="2B7AE01C" w14:textId="1B9B645E" w:rsidR="00C757A6" w:rsidRPr="00C757A6" w:rsidRDefault="00C757A6" w:rsidP="00F86680">
      <w:pPr>
        <w:spacing w:line="360" w:lineRule="auto"/>
        <w:ind w:left="-284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переноса сумматора через узел получено два эквивалентных выхода одного сигнала </w:t>
      </w:r>
      <w:r w:rsidRPr="00C757A6">
        <w:rPr>
          <w:rFonts w:eastAsiaTheme="minorHAnsi"/>
          <w:color w:val="000000"/>
          <w:sz w:val="28"/>
          <w:szCs w:val="28"/>
          <w:lang w:eastAsia="en-US"/>
        </w:rPr>
        <w:t>ω</w:t>
      </w:r>
      <w:r w:rsidR="00F86680">
        <w:rPr>
          <w:rFonts w:eastAsiaTheme="minorHAnsi"/>
          <w:color w:val="000000"/>
          <w:sz w:val="28"/>
          <w:szCs w:val="28"/>
          <w:lang w:eastAsia="en-US"/>
        </w:rPr>
        <w:t>, которые обозначены пунктирной линией на рисунке 5.1</w:t>
      </w:r>
      <w:r>
        <w:rPr>
          <w:rFonts w:eastAsiaTheme="minorHAnsi"/>
          <w:color w:val="000000"/>
          <w:sz w:val="28"/>
          <w:szCs w:val="28"/>
          <w:lang w:eastAsia="en-US"/>
        </w:rPr>
        <w:t>. В дальнейшем можно использовать любой из них, но только один. В данном случае удобно использовать связь, обозначенную (1), тогда связь (2) не нужна, и сумматор, из которого она выходит, можно убрать. Полученная схема представлена на рисунке 5.2.</w:t>
      </w:r>
    </w:p>
    <w:p w14:paraId="503D6E30" w14:textId="5E2D5F55" w:rsidR="003C1936" w:rsidRDefault="00F02AF1" w:rsidP="003C1936">
      <w:pPr>
        <w:spacing w:line="360" w:lineRule="auto"/>
        <w:ind w:left="-284"/>
        <w:jc w:val="center"/>
      </w:pPr>
      <w:r>
        <w:object w:dxaOrig="8004" w:dyaOrig="4104" w14:anchorId="6CAA5936">
          <v:shape id="_x0000_i1043" type="#_x0000_t75" style="width:400.35pt;height:205.1pt" o:ole="">
            <v:imagedata r:id="rId15" o:title=""/>
          </v:shape>
          <o:OLEObject Type="Embed" ProgID="Visio.Drawing.15" ShapeID="_x0000_i1043" DrawAspect="Content" ObjectID="_1763747444" r:id="rId16"/>
        </w:object>
      </w:r>
    </w:p>
    <w:p w14:paraId="4378E8A2" w14:textId="57EBC8B4" w:rsidR="003C1936" w:rsidRDefault="003C1936" w:rsidP="003C1936">
      <w:pPr>
        <w:spacing w:line="360" w:lineRule="auto"/>
        <w:ind w:left="-284"/>
        <w:jc w:val="center"/>
      </w:pPr>
      <w:r>
        <w:t>Рисунок 5</w:t>
      </w:r>
      <w:r w:rsidR="00F86680">
        <w:t>.2</w:t>
      </w:r>
      <w:r>
        <w:t xml:space="preserve"> – Четвёртый шаг преобразования схемы</w:t>
      </w:r>
    </w:p>
    <w:p w14:paraId="66292D4B" w14:textId="732CA19D" w:rsidR="003C1936" w:rsidRDefault="003C1936" w:rsidP="00F41779">
      <w:pPr>
        <w:spacing w:line="360" w:lineRule="auto"/>
        <w:ind w:left="-284" w:firstLine="992"/>
        <w:jc w:val="both"/>
        <w:rPr>
          <w:sz w:val="28"/>
          <w:szCs w:val="28"/>
        </w:rPr>
      </w:pPr>
      <w:r w:rsidRPr="003C1936">
        <w:rPr>
          <w:b/>
          <w:bCs/>
          <w:sz w:val="28"/>
          <w:szCs w:val="28"/>
        </w:rPr>
        <w:t>5 шаг.</w:t>
      </w:r>
      <w:r>
        <w:rPr>
          <w:sz w:val="28"/>
          <w:szCs w:val="28"/>
        </w:rPr>
        <w:t xml:space="preserve"> </w:t>
      </w:r>
      <w:r w:rsidR="00833F2D">
        <w:rPr>
          <w:sz w:val="28"/>
          <w:szCs w:val="28"/>
        </w:rPr>
        <w:t>Свернём</w:t>
      </w:r>
      <w:r>
        <w:rPr>
          <w:sz w:val="28"/>
          <w:szCs w:val="28"/>
        </w:rPr>
        <w:t xml:space="preserve"> внутренн</w:t>
      </w:r>
      <w:r w:rsidR="00DC7F73">
        <w:rPr>
          <w:sz w:val="28"/>
          <w:szCs w:val="28"/>
        </w:rPr>
        <w:t>юю</w:t>
      </w:r>
      <w:r>
        <w:rPr>
          <w:sz w:val="28"/>
          <w:szCs w:val="28"/>
        </w:rPr>
        <w:t xml:space="preserve"> обратн</w:t>
      </w:r>
      <w:r w:rsidR="00DC7F73">
        <w:rPr>
          <w:sz w:val="28"/>
          <w:szCs w:val="28"/>
        </w:rPr>
        <w:t>ую</w:t>
      </w:r>
      <w:r>
        <w:rPr>
          <w:sz w:val="28"/>
          <w:szCs w:val="28"/>
        </w:rPr>
        <w:t xml:space="preserve"> связ</w:t>
      </w:r>
      <w:r w:rsidR="00DC7F73">
        <w:rPr>
          <w:sz w:val="28"/>
          <w:szCs w:val="28"/>
        </w:rPr>
        <w:t>ь</w:t>
      </w:r>
      <w:r>
        <w:rPr>
          <w:sz w:val="28"/>
          <w:szCs w:val="28"/>
        </w:rPr>
        <w:t xml:space="preserve">, а также перенесём звено с </w:t>
      </w:r>
      <w:r>
        <w:rPr>
          <w:sz w:val="28"/>
          <w:szCs w:val="28"/>
          <w:lang w:val="en-US"/>
        </w:rPr>
        <w:t>K</w:t>
      </w:r>
      <w:r w:rsidRPr="003C1936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через сумматор, чтобы получить одноконтурную схему</w:t>
      </w:r>
      <w:r w:rsidR="00FB5A7E">
        <w:rPr>
          <w:sz w:val="28"/>
          <w:szCs w:val="28"/>
        </w:rPr>
        <w:t>. Конечный вид схемы представлен на рисунке 6.</w:t>
      </w:r>
    </w:p>
    <w:p w14:paraId="0E2DA82D" w14:textId="158D5460" w:rsidR="00FB5A7E" w:rsidRDefault="00FB5A7E" w:rsidP="00D871EF">
      <w:pPr>
        <w:spacing w:line="360" w:lineRule="auto"/>
        <w:ind w:left="-284"/>
        <w:jc w:val="center"/>
      </w:pPr>
      <w:r>
        <w:object w:dxaOrig="9228" w:dyaOrig="3217" w14:anchorId="48D39FFC">
          <v:shape id="_x0000_i1040" type="#_x0000_t75" style="width:461.45pt;height:160.9pt" o:ole="">
            <v:imagedata r:id="rId17" o:title=""/>
          </v:shape>
          <o:OLEObject Type="Embed" ProgID="Visio.Drawing.15" ShapeID="_x0000_i1040" DrawAspect="Content" ObjectID="_1763747445" r:id="rId18"/>
        </w:object>
      </w:r>
    </w:p>
    <w:p w14:paraId="6661613F" w14:textId="4F9005A3" w:rsidR="00FB5A7E" w:rsidRPr="00FB5A7E" w:rsidRDefault="00FB5A7E" w:rsidP="00D871EF">
      <w:pPr>
        <w:spacing w:line="360" w:lineRule="auto"/>
        <w:ind w:left="-284"/>
        <w:jc w:val="center"/>
      </w:pPr>
      <w:r>
        <w:t>Рисунок 6 – Результат преобразования исходной схемы</w:t>
      </w:r>
    </w:p>
    <w:sectPr w:rsidR="00FB5A7E" w:rsidRPr="00FB5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5F"/>
    <w:rsid w:val="0001715F"/>
    <w:rsid w:val="000F1A5A"/>
    <w:rsid w:val="001A1347"/>
    <w:rsid w:val="001F698A"/>
    <w:rsid w:val="00212124"/>
    <w:rsid w:val="00227D9D"/>
    <w:rsid w:val="002F75C0"/>
    <w:rsid w:val="00335440"/>
    <w:rsid w:val="003C1936"/>
    <w:rsid w:val="003F0664"/>
    <w:rsid w:val="00427736"/>
    <w:rsid w:val="004574C2"/>
    <w:rsid w:val="004F6E56"/>
    <w:rsid w:val="00551394"/>
    <w:rsid w:val="006442F8"/>
    <w:rsid w:val="007A7463"/>
    <w:rsid w:val="007C70E2"/>
    <w:rsid w:val="00833F2D"/>
    <w:rsid w:val="00887BA4"/>
    <w:rsid w:val="008E678B"/>
    <w:rsid w:val="00904412"/>
    <w:rsid w:val="009A6221"/>
    <w:rsid w:val="009C29C3"/>
    <w:rsid w:val="009F35E7"/>
    <w:rsid w:val="00A45D6D"/>
    <w:rsid w:val="00A571E5"/>
    <w:rsid w:val="00AA44B1"/>
    <w:rsid w:val="00AB5CD3"/>
    <w:rsid w:val="00AE26E1"/>
    <w:rsid w:val="00B0773D"/>
    <w:rsid w:val="00B626F8"/>
    <w:rsid w:val="00B6381C"/>
    <w:rsid w:val="00C20280"/>
    <w:rsid w:val="00C377E7"/>
    <w:rsid w:val="00C414B2"/>
    <w:rsid w:val="00C757A6"/>
    <w:rsid w:val="00CF27F8"/>
    <w:rsid w:val="00D027E1"/>
    <w:rsid w:val="00D1319F"/>
    <w:rsid w:val="00D6271C"/>
    <w:rsid w:val="00D871EF"/>
    <w:rsid w:val="00DC01AB"/>
    <w:rsid w:val="00DC7F73"/>
    <w:rsid w:val="00DF1AB5"/>
    <w:rsid w:val="00E94462"/>
    <w:rsid w:val="00F02AF1"/>
    <w:rsid w:val="00F07F25"/>
    <w:rsid w:val="00F41779"/>
    <w:rsid w:val="00F86680"/>
    <w:rsid w:val="00FB5A7E"/>
    <w:rsid w:val="00FD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97AB"/>
  <w15:chartTrackingRefBased/>
  <w15:docId w15:val="{5F959186-1073-43ED-B88F-10344D9B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E56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character" w:styleId="a3">
    <w:name w:val="Placeholder Text"/>
    <w:basedOn w:val="a0"/>
    <w:uiPriority w:val="99"/>
    <w:semiHidden/>
    <w:rsid w:val="004F6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696A7-386D-4B62-9D70-742027F5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47</cp:revision>
  <dcterms:created xsi:type="dcterms:W3CDTF">2023-11-28T15:24:00Z</dcterms:created>
  <dcterms:modified xsi:type="dcterms:W3CDTF">2023-12-10T18:01:00Z</dcterms:modified>
</cp:coreProperties>
</file>