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Ownership Structure - VaultBridge Financial Ltd</w:t>
      </w:r>
    </w:p>
    <w:p>
      <w:r>
        <w:t>Ultimate Beneficial Owners (&gt;25% threshold):</w:t>
      </w:r>
    </w:p>
    <w:p>
      <w:r>
        <w:t>1. Erik Lindqvist – 45% – Swedish national – source of wealth: technology venture exits</w:t>
      </w:r>
    </w:p>
    <w:p>
      <w:r>
        <w:t>2. Aisha Nkrumah – 30% – Ghanaian national – source of wealth: real estate portfolio</w:t>
      </w:r>
    </w:p>
    <w:p>
      <w:r>
        <w:t>Remaining 25% is held by institutional investors with no single entity exceeding 5%.</w:t>
      </w:r>
    </w:p>
    <w:p>
      <w:pPr>
        <w:pStyle w:val="Heading1"/>
      </w:pPr>
      <w:r>
        <w:t>Group Structure</w:t>
      </w:r>
    </w:p>
    <w:p>
      <w:r>
        <w:t>VaultBridge Financial Ltd (Ireland) is a wholly-owned subsidiary of VaultBridge Group BV (Netherlands).</w:t>
      </w:r>
    </w:p>
    <w:p>
      <w:r>
        <w:t>No trust structures, shell entities, or nominee arrangements are in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