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Q3 Financial Review — INTERNAL</w:t>
      </w:r>
    </w:p>
    <w:p>
      <w:r>
        <w:t>Prepared by: Finance Operations</w:t>
      </w:r>
    </w:p>
    <w:p/>
    <w:p>
      <w:pPr>
        <w:pStyle w:val="Heading1"/>
      </w:pPr>
      <w:r>
        <w:t>Summary</w:t>
      </w:r>
    </w:p>
    <w:p>
      <w:r>
        <w:t>Revenue for Q3 exceeded projections by 4.2%, driven by accelerated delivery on two enterprise contracts. Operating expenses remained within budget. Net margin improved 1.1 pp year-over-year.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Projected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Actual</w:t>
            </w:r>
          </w:p>
        </w:tc>
      </w:tr>
      <w:tr>
        <w:tc>
          <w:tcPr>
            <w:tcW w:type="dxa" w:w="2880"/>
          </w:tcPr>
          <w:p>
            <w:r>
              <w:t>Revenue</w:t>
            </w:r>
          </w:p>
        </w:tc>
        <w:tc>
          <w:tcPr>
            <w:tcW w:type="dxa" w:w="2880"/>
          </w:tcPr>
          <w:p>
            <w:r>
              <w:t>$4.02M</w:t>
            </w:r>
          </w:p>
        </w:tc>
        <w:tc>
          <w:tcPr>
            <w:tcW w:type="dxa" w:w="2880"/>
          </w:tcPr>
          <w:p>
            <w:r>
              <w:t>$4.19M</w:t>
            </w:r>
          </w:p>
        </w:tc>
      </w:tr>
      <w:tr>
        <w:tc>
          <w:tcPr>
            <w:tcW w:type="dxa" w:w="2880"/>
          </w:tcPr>
          <w:p>
            <w:r>
              <w:t>Expenses</w:t>
            </w:r>
          </w:p>
        </w:tc>
        <w:tc>
          <w:tcPr>
            <w:tcW w:type="dxa" w:w="2880"/>
          </w:tcPr>
          <w:p>
            <w:r>
              <w:t>$3.20M</w:t>
            </w:r>
          </w:p>
        </w:tc>
        <w:tc>
          <w:tcPr>
            <w:tcW w:type="dxa" w:w="2880"/>
          </w:tcPr>
          <w:p>
            <w:r>
              <w:t>$3.11M</w:t>
            </w:r>
          </w:p>
        </w:tc>
      </w:tr>
      <w:tr>
        <w:tc>
          <w:tcPr>
            <w:tcW w:type="dxa" w:w="2880"/>
          </w:tcPr>
          <w:p>
            <w:r>
              <w:t>Net</w:t>
            </w:r>
          </w:p>
        </w:tc>
        <w:tc>
          <w:tcPr>
            <w:tcW w:type="dxa" w:w="2880"/>
          </w:tcPr>
          <w:p>
            <w:r>
              <w:t>$0.82M</w:t>
            </w:r>
          </w:p>
        </w:tc>
        <w:tc>
          <w:tcPr>
            <w:tcW w:type="dxa" w:w="2880"/>
          </w:tcPr>
          <w:p>
            <w:r>
              <w:t>$1.08M</w:t>
            </w:r>
          </w:p>
        </w:tc>
      </w:tr>
    </w:tbl>
    <w:p/>
    <w:p>
      <w:pPr>
        <w:pStyle w:val="Heading1"/>
      </w:pPr>
      <w:r>
        <w:t>Q4 Outlook</w:t>
      </w:r>
    </w:p>
    <w:p>
      <w:r>
        <w:t>Moderate growth expected. Pipeline includes three pending contract renewals and one new enterprise prospect at final negotiation stage.</w:t>
      </w:r>
    </w:p>
    <w:p>
      <w:pPr>
        <w:pStyle w:val="Heading1"/>
      </w:pPr>
      <w:r>
        <w:t>Action Items</w:t>
      </w:r>
    </w:p>
    <w:p>
      <w:pPr>
        <w:pStyle w:val="ListBullet"/>
      </w:pPr>
      <w:r>
        <w:t>Finalise Q4 budget allocations by Nov 15</w:t>
      </w:r>
    </w:p>
    <w:p>
      <w:pPr>
        <w:pStyle w:val="ListBullet"/>
      </w:pPr>
      <w:r>
        <w:t>Schedule client review calls — Project Alpha and Project Bravo</w:t>
      </w:r>
    </w:p>
    <w:p>
      <w:pPr>
        <w:pStyle w:val="ListBullet"/>
      </w:pPr>
      <w:r>
        <w:t>Submit headcount request for engineering expansion (2 FTE)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