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HomeSynapse Core</w:t>
      </w:r>
    </w:p>
    <w:p>
      <w:pPr>
        <w:spacing w:after="100"/>
        <w:jc w:val="center"/>
      </w:pPr>
      <w:r>
        <w:rPr>
          <w:rFonts w:ascii="Arial" w:cs="Arial" w:eastAsia="Arial" w:hAnsi="Arial"/>
          <w:color w:val="2E75B6"/>
          <w:sz w:val="32"/>
          <w:szCs w:val="32"/>
        </w:rPr>
        <w:t xml:space="preserve">Architecture &amp; Competitive Assessment</w:t>
      </w:r>
    </w:p>
    <w:p>
      <w:pPr>
        <w:pBdr>
          <w:bottom w:val="single" w:color="2E75B6" w:sz="8" w:space="1"/>
        </w:pBdr>
        <w:spacing w:after="600"/>
        <w:jc w:val="center"/>
      </w:pPr>
      <w:r>
        <w:rPr>
          <w:rFonts w:ascii="Arial" w:cs="Arial" w:eastAsia="Arial" w:hAnsi="Arial"/>
          <w:i/>
          <w:iCs/>
          <w:color w:val="666666"/>
          <w:sz w:val="24"/>
          <w:szCs w:val="24"/>
        </w:rPr>
        <w:t xml:space="preserve">Reconciling External Research with Codebase Ground Truth</w:t>
      </w:r>
    </w:p>
    <w:p>
      <w:pPr>
        <w:spacing w:after="100"/>
        <w:jc w:val="center"/>
      </w:pPr>
      <w:r>
        <w:rPr>
          <w:rFonts w:ascii="Arial" w:cs="Arial" w:eastAsia="Arial" w:hAnsi="Arial"/>
          <w:color w:val="404040"/>
          <w:sz w:val="22"/>
          <w:szCs w:val="22"/>
        </w:rPr>
        <w:t xml:space="preserve">Prepared for Nick Smith, NexSys  |  May 18, 2026</w:t>
      </w:r>
    </w:p>
    <w:p>
      <w:r>
        <w:br w:type="page"/>
      </w:r>
    </w:p>
    <w:p>
      <w:pPr>
        <w:pStyle w:val="Heading1"/>
        <w:spacing w:after="200" w:before="360"/>
      </w:pPr>
      <w:r>
        <w:rPr>
          <w:rFonts w:ascii="Arial" w:cs="Arial" w:eastAsia="Arial" w:hAnsi="Arial"/>
          <w:b/>
          <w:bCs/>
          <w:color w:val="1B3A5C"/>
          <w:sz w:val="32"/>
          <w:szCs w:val="32"/>
        </w:rPr>
        <w:t xml:space="preserve">Executive Summary</w:t>
      </w:r>
    </w:p>
    <w:p>
      <w:pPr>
        <w:spacing w:after="160"/>
      </w:pPr>
      <w:r>
        <w:rPr>
          <w:rFonts w:ascii="Arial" w:cs="Arial" w:eastAsia="Arial" w:hAnsi="Arial"/>
          <w:sz w:val="22"/>
          <w:szCs w:val="22"/>
        </w:rPr>
        <w:t xml:space="preserve">This document synthesizes an independent competitive and architectural assessment of HomeSynapse Core against a thorough reading of the actual codebase — 19 production JPMS modules, 14 design documents, three active governance amendments (AMD-41/42/43), and the Phase 3 implementation through milestone M3.5b. The purpose is to identify where the research aligns with reality, where it misses critical details, and what the combined picture says about HomeSynapse’s competitive position and technical risk profile.</w:t>
      </w:r>
    </w:p>
    <w:p>
      <w:pPr>
        <w:spacing w:after="160"/>
      </w:pPr>
      <w:r>
        <w:rPr>
          <w:rFonts w:ascii="Arial" w:cs="Arial" w:eastAsia="Arial" w:hAnsi="Arial"/>
          <w:b/>
          <w:bCs/>
          <w:sz w:val="22"/>
          <w:szCs w:val="22"/>
        </w:rPr>
        <w:t xml:space="preserve">The verdict: </w:t>
      </w:r>
      <w:r>
        <w:rPr>
          <w:rFonts w:ascii="Arial" w:cs="Arial" w:eastAsia="Arial" w:hAnsi="Arial"/>
          <w:sz w:val="22"/>
          <w:szCs w:val="22"/>
        </w:rPr>
        <w:t xml:space="preserve">the research is directionally correct but underestimates the engineering depth of what has actually been built. The codebase is substantially more sophisticated than the research describes — the pull-based event bus with five-mode subscriber FSM, the two-phase projection discipline, the bounded-window WAL mitigation, and the JFR-native observability layer are all production-grade implementations, not design aspirations. At the same time, the research correctly identifies the key risks (JNI pinning, WAL growth, contract-test methodology maturity) and its competitive positioning recommendations are sound.</w:t>
      </w:r>
    </w:p>
    <w:p>
      <w:r>
        <w:br w:type="page"/>
      </w:r>
    </w:p>
    <w:p>
      <w:pPr>
        <w:pStyle w:val="Heading1"/>
        <w:spacing w:after="200" w:before="360"/>
      </w:pPr>
      <w:r>
        <w:rPr>
          <w:rFonts w:ascii="Arial" w:cs="Arial" w:eastAsia="Arial" w:hAnsi="Arial"/>
          <w:b/>
          <w:bCs/>
          <w:color w:val="1B3A5C"/>
          <w:sz w:val="32"/>
          <w:szCs w:val="32"/>
        </w:rPr>
        <w:t xml:space="preserve">Part 1: Where the Research Aligns with Reality</w:t>
      </w:r>
    </w:p>
    <w:p>
      <w:pPr>
        <w:spacing w:after="160"/>
      </w:pPr>
      <w:r>
        <w:rPr>
          <w:rFonts w:ascii="Arial" w:cs="Arial" w:eastAsia="Arial" w:hAnsi="Arial"/>
          <w:sz w:val="22"/>
          <w:szCs w:val="22"/>
        </w:rPr>
        <w:t xml:space="preserve">The competitive research makes eight primary technical claims. Six are validated by the codebase with high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Research Claim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Codebase 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sourcing with append-only SQLite WAL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17346"/>
                <w:sz w:val="20"/>
                <w:szCs w:val="20"/>
              </w:rPr>
              <w:t xml:space="preserve">Confirmed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SqliteEventStore: 24-bind INSERT, AUTOINCREMENT global_position, synchronous=NORMAL, journal_mode=WAL. PlatformThreadWriteCoordinator on hs-write-0.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ConcurrentHashMap 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17346"/>
                <w:sz w:val="20"/>
                <w:szCs w:val="20"/>
              </w:rPr>
              <w:t xml:space="preserve">Confirmed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SqliteStateStore: ConcurrentHashMap with lock-free reads. No entity_state table (DEC-M3-04). Checkpoint serialization at AMD-38 cadence.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Platform-thread JDBC executor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17346"/>
                <w:sz w:val="20"/>
                <w:szCs w:val="20"/>
              </w:rPr>
              <w:t xml:space="preserve">Confirmed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DatabaseExecutor: WriteCoordinator (1 thread, priority queue) + ReadExecutor (N threads, round-robin ThreadLocal&lt;Connection&gt;). WritePriority 5-level enum.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JPMS modular monolith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17346"/>
                <w:sz w:val="20"/>
                <w:szCs w:val="20"/>
              </w:rPr>
              <w:t xml:space="preserve">Confirmed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modules with module-info.java. moduleGraphAssert maxHeight=7. Single flat package per module. jlink target for ~50 MB runtime.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threads for subscribers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17346"/>
                <w:sz w:val="20"/>
                <w:szCs w:val="20"/>
              </w:rPr>
              <w:t xml:space="preserve">Confirmed+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VT per subscriber (INV-SUB-ISO-01). Five-mode FSM (COLD/REPLAY/TRANSITION/LIVE/SUSPENDED). AtomicReference CAS transitions.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Bounded-window WAL reader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17346"/>
                <w:sz w:val="20"/>
                <w:szCs w:val="20"/>
              </w:rPr>
              <w:t xml:space="preserve">Confirmed, validated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WAL Pathology Spike (2026-05-15). AMD-39 (64 MB raise) WITHDRAWN. 6 MB journal limit across all DeploymentProfile tiers.</w:t>
            </w:r>
          </w:p>
        </w:tc>
      </w:tr>
    </w:tbl>
    <w:p>
      <w:pPr>
        <w:spacing w:after="200"/>
      </w:pPr>
    </w:p>
    <w:p>
      <w:pPr>
        <w:pStyle w:val="Heading1"/>
        <w:spacing w:after="200" w:before="360"/>
      </w:pPr>
      <w:r>
        <w:rPr>
          <w:rFonts w:ascii="Arial" w:cs="Arial" w:eastAsia="Arial" w:hAnsi="Arial"/>
          <w:b/>
          <w:bCs/>
          <w:color w:val="1B3A5C"/>
          <w:sz w:val="32"/>
          <w:szCs w:val="32"/>
        </w:rPr>
        <w:t xml:space="preserve">Part 2: What the Research Missed</w:t>
      </w:r>
    </w:p>
    <w:p>
      <w:pPr>
        <w:spacing w:after="160"/>
      </w:pPr>
      <w:r>
        <w:rPr>
          <w:rFonts w:ascii="Arial" w:cs="Arial" w:eastAsia="Arial" w:hAnsi="Arial"/>
          <w:sz w:val="22"/>
          <w:szCs w:val="22"/>
        </w:rPr>
        <w:t xml:space="preserve">The research was necessarily working from design descriptions. The codebase reveals several dimensions of engineering sophistication it could not have known about.</w:t>
      </w:r>
    </w:p>
    <w:p>
      <w:pPr>
        <w:pStyle w:val="Heading2"/>
        <w:spacing w:after="160" w:before="280"/>
      </w:pPr>
      <w:r>
        <w:rPr>
          <w:rFonts w:ascii="Arial" w:cs="Arial" w:eastAsia="Arial" w:hAnsi="Arial"/>
          <w:b/>
          <w:bCs/>
          <w:color w:val="2E75B6"/>
          <w:sz w:val="26"/>
          <w:szCs w:val="26"/>
        </w:rPr>
        <w:t xml:space="preserve">2.1 The Pull-Based Event Bus</w:t>
      </w:r>
    </w:p>
    <w:p>
      <w:pPr>
        <w:spacing w:after="160"/>
      </w:pPr>
      <w:r>
        <w:rPr>
          <w:rFonts w:ascii="Arial" w:cs="Arial" w:eastAsia="Arial" w:hAnsi="Arial"/>
          <w:sz w:val="22"/>
          <w:szCs w:val="22"/>
        </w:rPr>
        <w:t xml:space="preserve">The research characterizes HomeSynapse’s event distribution as “virtual threads for in-process event bus dispatching.” The actual InProcessEventBus is a 32-type subsystem implementing pull-based, notification-driven delivery: the bus does </w:t>
      </w:r>
      <w:r>
        <w:rPr>
          <w:rFonts w:ascii="Arial" w:cs="Arial" w:eastAsia="Arial" w:hAnsi="Arial"/>
          <w:i/>
          <w:iCs/>
          <w:sz w:val="22"/>
          <w:szCs w:val="22"/>
        </w:rPr>
        <w:t xml:space="preserve">not</w:t>
      </w:r>
      <w:r>
        <w:rPr>
          <w:rFonts w:ascii="Arial" w:cs="Arial" w:eastAsia="Arial" w:hAnsi="Arial"/>
          <w:sz w:val="22"/>
          <w:szCs w:val="22"/>
        </w:rPr>
        <w:t xml:space="preserve"> deliver events to subscribers — it wakes them via LockSupport.unpark(), and subscribers pull events from EventStore themselves. This enables backpressure, coalescing, and crash-safe checkpoint resumption.</w:t>
      </w:r>
    </w:p>
    <w:p>
      <w:pPr>
        <w:pStyle w:val="ListParagraph"/>
        <w:numPr>
          <w:ilvl w:val="0"/>
          <w:numId w:val="2"/>
        </w:numPr>
        <w:spacing w:after="100"/>
      </w:pPr>
      <w:r>
        <w:rPr>
          <w:rFonts w:ascii="Arial" w:cs="Arial" w:eastAsia="Arial" w:hAnsi="Arial"/>
          <w:b/>
          <w:bCs/>
          <w:sz w:val="22"/>
          <w:szCs w:val="22"/>
        </w:rPr>
        <w:t xml:space="preserve">ReplayWindowQueue</w:t>
      </w:r>
      <w:r>
        <w:rPr>
          <w:rFonts w:ascii="Arial" w:cs="Arial" w:eastAsia="Arial" w:hAnsi="Arial"/>
          <w:sz w:val="22"/>
          <w:szCs w:val="22"/>
        </w:rPr>
        <w:t xml:space="preserve"> — bounded 10,000-entry thread-safe queue with latched overflow flag. On overflow, ReplayDriver restarts from persisted checkpoint (at-least-once, not data loss).</w:t>
      </w:r>
    </w:p>
    <w:p>
      <w:pPr>
        <w:pStyle w:val="ListParagraph"/>
        <w:numPr>
          <w:ilvl w:val="0"/>
          <w:numId w:val="2"/>
        </w:numPr>
        <w:spacing w:after="100"/>
      </w:pPr>
      <w:r>
        <w:rPr>
          <w:rFonts w:ascii="Arial" w:cs="Arial" w:eastAsia="Arial" w:hAnsi="Arial"/>
          <w:b/>
          <w:bCs/>
          <w:sz w:val="22"/>
          <w:szCs w:val="22"/>
        </w:rPr>
        <w:t xml:space="preserve">TransitionCoordinator</w:t>
      </w:r>
      <w:r>
        <w:rPr>
          <w:rFonts w:ascii="Arial" w:cs="Arial" w:eastAsia="Arial" w:hAnsi="Arial"/>
          <w:sz w:val="22"/>
          <w:szCs w:val="22"/>
        </w:rPr>
        <w:t xml:space="preserve"> — drains queue with gap detection, atomically CASes TRANSITION→LIVE under queue lock, fires onCaughtUp() exactly once. Prevents race between enqueue and mode promotion.</w:t>
      </w:r>
    </w:p>
    <w:p>
      <w:pPr>
        <w:pStyle w:val="ListParagraph"/>
        <w:numPr>
          <w:ilvl w:val="0"/>
          <w:numId w:val="2"/>
        </w:numPr>
        <w:spacing w:after="100"/>
      </w:pPr>
      <w:r>
        <w:rPr>
          <w:rFonts w:ascii="Arial" w:cs="Arial" w:eastAsia="Arial" w:hAnsi="Arial"/>
          <w:b/>
          <w:bCs/>
          <w:sz w:val="22"/>
          <w:szCs w:val="22"/>
        </w:rPr>
        <w:t xml:space="preserve">SubscriberSupervisor</w:t>
      </w:r>
      <w:r>
        <w:rPr>
          <w:rFonts w:ascii="Arial" w:cs="Arial" w:eastAsia="Arial" w:hAnsi="Arial"/>
          <w:sz w:val="22"/>
          <w:szCs w:val="22"/>
        </w:rPr>
        <w:t xml:space="preserve"> — exception taxonomy (Error/IOException → SUSPENDED; RuntimeException → exponential backoff 3–30s). Rolling 10-minute crash window, 5-crash circuit breaker.</w:t>
      </w:r>
    </w:p>
    <w:p>
      <w:pPr>
        <w:pStyle w:val="ListParagraph"/>
        <w:numPr>
          <w:ilvl w:val="0"/>
          <w:numId w:val="2"/>
        </w:numPr>
        <w:spacing w:after="100"/>
      </w:pPr>
      <w:r>
        <w:rPr>
          <w:rFonts w:ascii="Arial" w:cs="Arial" w:eastAsia="Arial" w:hAnsi="Arial"/>
          <w:b/>
          <w:bCs/>
          <w:sz w:val="22"/>
          <w:szCs w:val="22"/>
        </w:rPr>
        <w:t xml:space="preserve">Per-subscriber isolation (INV-SUB-ISO-01–06)</w:t>
      </w:r>
      <w:r>
        <w:rPr>
          <w:rFonts w:ascii="Arial" w:cs="Arial" w:eastAsia="Arial" w:hAnsi="Arial"/>
          <w:sz w:val="22"/>
          <w:szCs w:val="22"/>
        </w:rPr>
        <w:t xml:space="preserve"> — each subscriber gets its own VT, read connection, DLQ, mode ref, replay window queue, and self-produced filter.</w:t>
      </w:r>
    </w:p>
    <w:p>
      <w:pPr>
        <w:pStyle w:val="Heading2"/>
        <w:spacing w:after="160" w:before="280"/>
      </w:pPr>
      <w:r>
        <w:rPr>
          <w:rFonts w:ascii="Arial" w:cs="Arial" w:eastAsia="Arial" w:hAnsi="Arial"/>
          <w:b/>
          <w:bCs/>
          <w:color w:val="2E75B6"/>
          <w:sz w:val="26"/>
          <w:szCs w:val="26"/>
        </w:rPr>
        <w:t xml:space="preserve">2.2 Two-Phase State Projection</w:t>
      </w:r>
    </w:p>
    <w:p>
      <w:pPr>
        <w:spacing w:after="160"/>
      </w:pPr>
      <w:r>
        <w:rPr>
          <w:rFonts w:ascii="Arial" w:cs="Arial" w:eastAsia="Arial" w:hAnsi="Arial"/>
          <w:sz w:val="22"/>
          <w:szCs w:val="22"/>
        </w:rPr>
        <w:t xml:space="preserve">The StateProjection implements a rigorous two-phase discipline (AMD-41) that prevents derived publishes from holding read transactions open:</w:t>
      </w:r>
    </w:p>
    <w:p>
      <w:pPr>
        <w:pStyle w:val="ListParagraph"/>
        <w:numPr>
          <w:ilvl w:val="0"/>
          <w:numId w:val="2"/>
        </w:numPr>
        <w:spacing w:after="100"/>
      </w:pPr>
      <w:r>
        <w:rPr>
          <w:rFonts w:ascii="Arial" w:cs="Arial" w:eastAsia="Arial" w:hAnsi="Arial"/>
          <w:b/>
          <w:bCs/>
          <w:sz w:val="22"/>
          <w:szCs w:val="22"/>
        </w:rPr>
        <w:t xml:space="preserve">Phase 1 (READ): </w:t>
      </w:r>
      <w:r>
        <w:rPr>
          <w:rFonts w:ascii="Arial" w:cs="Arial" w:eastAsia="Arial" w:hAnsi="Arial"/>
          <w:sz w:val="22"/>
          <w:szCs w:val="22"/>
        </w:rPr>
        <w:t xml:space="preserve">ProjectionAdvancer opens bounded read tx (≤2s, ≤500 rows). Processor applies state changes and buffers derived drafts — must NOT call EventPublisher.publish() inside the tx.</w:t>
      </w:r>
    </w:p>
    <w:p>
      <w:pPr>
        <w:pStyle w:val="ListParagraph"/>
        <w:numPr>
          <w:ilvl w:val="0"/>
          <w:numId w:val="2"/>
        </w:numPr>
        <w:spacing w:after="100"/>
      </w:pPr>
      <w:r>
        <w:rPr>
          <w:rFonts w:ascii="Arial" w:cs="Arial" w:eastAsia="Arial" w:hAnsi="Arial"/>
          <w:b/>
          <w:bCs/>
          <w:sz w:val="22"/>
          <w:szCs w:val="22"/>
        </w:rPr>
        <w:t xml:space="preserve">Phase 2 (PUBLISH): </w:t>
      </w:r>
      <w:r>
        <w:rPr>
          <w:rFonts w:ascii="Arial" w:cs="Arial" w:eastAsia="Arial" w:hAnsi="Arial"/>
          <w:sz w:val="22"/>
          <w:szCs w:val="22"/>
        </w:rPr>
        <w:t xml:space="preserve">After tx closes, buffered drafts published through EventPublisher, gated by DerivedWriteRateLimit (200 tokens/sec, refill 10/50ms).</w:t>
      </w:r>
    </w:p>
    <w:p>
      <w:pPr>
        <w:spacing w:after="160"/>
      </w:pPr>
      <w:r>
        <w:rPr>
          <w:rFonts w:ascii="Arial" w:cs="Arial" w:eastAsia="Arial" w:hAnsi="Arial"/>
          <w:sz w:val="22"/>
          <w:szCs w:val="22"/>
        </w:rPr>
        <w:t xml:space="preserve">This separation prevents exactly the WAL-grows-without-bound pathology the research identifies. The bounded-window discipline is woven into the projection’s execution model, not a separate mitigation.</w:t>
      </w:r>
    </w:p>
    <w:p>
      <w:pPr>
        <w:pStyle w:val="Heading2"/>
        <w:spacing w:after="160" w:before="280"/>
      </w:pPr>
      <w:r>
        <w:rPr>
          <w:rFonts w:ascii="Arial" w:cs="Arial" w:eastAsia="Arial" w:hAnsi="Arial"/>
          <w:b/>
          <w:bCs/>
          <w:color w:val="2E75B6"/>
          <w:sz w:val="26"/>
          <w:szCs w:val="26"/>
        </w:rPr>
        <w:t xml:space="preserve">2.3 JFR-Native Observability</w:t>
      </w:r>
    </w:p>
    <w:p>
      <w:pPr>
        <w:spacing w:after="160"/>
      </w:pPr>
      <w:r>
        <w:rPr>
          <w:rFonts w:ascii="Arial" w:cs="Arial" w:eastAsia="Arial" w:hAnsi="Arial"/>
          <w:sz w:val="22"/>
          <w:szCs w:val="22"/>
        </w:rPr>
        <w:t xml:space="preserve">The codebase implements a JFR-native metrics layer (AMD-43, M3.3) with seven canonical bus metric names across six custom JFR event classes: publish latency histograms, publisher-blocked counters, writer queue depth gauges, subscriber lag (events + millis), and derived-write acceptance/parking counters. Zero-allocation hot path (thread-local JFR buffer, no synchronization). QueueSaturationHealthCheck with 5-tick hysteresis recovery — deliberately conservative for single-node deployment.</w:t>
      </w:r>
    </w:p>
    <w:p>
      <w:pPr>
        <w:pStyle w:val="Heading2"/>
        <w:spacing w:after="160" w:before="280"/>
      </w:pPr>
      <w:r>
        <w:rPr>
          <w:rFonts w:ascii="Arial" w:cs="Arial" w:eastAsia="Arial" w:hAnsi="Arial"/>
          <w:b/>
          <w:bCs/>
          <w:color w:val="2E75B6"/>
          <w:sz w:val="26"/>
          <w:szCs w:val="26"/>
        </w:rPr>
        <w:t xml:space="preserve">2.4 Persistence Infrastructure Stack</w:t>
      </w:r>
    </w:p>
    <w:p>
      <w:pPr>
        <w:spacing w:after="160"/>
      </w:pPr>
      <w:r>
        <w:rPr>
          <w:rFonts w:ascii="Arial" w:cs="Arial" w:eastAsia="Arial" w:hAnsi="Arial"/>
          <w:sz w:val="22"/>
          <w:szCs w:val="22"/>
        </w:rPr>
        <w:t xml:space="preserve">The persistence module (45 types) is a full infrastructure stack beyond what the research describes:</w:t>
      </w:r>
    </w:p>
    <w:p>
      <w:pPr>
        <w:pStyle w:val="ListParagraph"/>
        <w:numPr>
          <w:ilvl w:val="0"/>
          <w:numId w:val="2"/>
        </w:numPr>
        <w:spacing w:after="100"/>
      </w:pPr>
      <w:r>
        <w:rPr>
          <w:rFonts w:ascii="Arial" w:cs="Arial" w:eastAsia="Arial" w:hAnsi="Arial"/>
          <w:b/>
          <w:bCs/>
          <w:sz w:val="22"/>
          <w:szCs w:val="22"/>
        </w:rPr>
        <w:t xml:space="preserve">MigrationRunner</w:t>
      </w:r>
      <w:r>
        <w:rPr>
          <w:rFonts w:ascii="Arial" w:cs="Arial" w:eastAsia="Arial" w:hAnsi="Arial"/>
          <w:sz w:val="22"/>
          <w:szCs w:val="22"/>
        </w:rPr>
        <w:t xml:space="preserve"> — forward-only SQL migrations with SHA-256 checksums, version gap detection, transactional rollback.</w:t>
      </w:r>
    </w:p>
    <w:p>
      <w:pPr>
        <w:pStyle w:val="ListParagraph"/>
        <w:numPr>
          <w:ilvl w:val="0"/>
          <w:numId w:val="2"/>
        </w:numPr>
        <w:spacing w:after="100"/>
      </w:pPr>
      <w:r>
        <w:rPr>
          <w:rFonts w:ascii="Arial" w:cs="Arial" w:eastAsia="Arial" w:hAnsi="Arial"/>
          <w:b/>
          <w:bCs/>
          <w:sz w:val="22"/>
          <w:szCs w:val="22"/>
        </w:rPr>
        <w:t xml:space="preserve">EventPayloadCodec</w:t>
      </w:r>
      <w:r>
        <w:rPr>
          <w:rFonts w:ascii="Arial" w:cs="Arial" w:eastAsia="Arial" w:hAnsi="Arial"/>
          <w:sz w:val="22"/>
          <w:szCs w:val="22"/>
        </w:rPr>
        <w:t xml:space="preserve"> — bidirectional DomainEvent↔byte[] codec. DegradedEvent fallback for unknown/corrupt events (never throws, always produces readable wrapper).</w:t>
      </w:r>
    </w:p>
    <w:p>
      <w:pPr>
        <w:pStyle w:val="ListParagraph"/>
        <w:numPr>
          <w:ilvl w:val="0"/>
          <w:numId w:val="2"/>
        </w:numPr>
        <w:spacing w:after="100"/>
      </w:pPr>
      <w:r>
        <w:rPr>
          <w:rFonts w:ascii="Arial" w:cs="Arial" w:eastAsia="Arial" w:hAnsi="Arial"/>
          <w:b/>
          <w:bCs/>
          <w:sz w:val="22"/>
          <w:szCs w:val="22"/>
        </w:rPr>
        <w:t xml:space="preserve">JacksonWarmup</w:t>
      </w:r>
      <w:r>
        <w:rPr>
          <w:rFonts w:ascii="Arial" w:cs="Arial" w:eastAsia="Arial" w:hAnsi="Arial"/>
          <w:sz w:val="22"/>
          <w:szCs w:val="22"/>
        </w:rPr>
        <w:t xml:space="preserve"> — pre-populates SerializerCache/DeserializerCache on platform thread, preventing VT carrier pinning on cache-miss synchronized paths.</w:t>
      </w:r>
    </w:p>
    <w:p>
      <w:pPr>
        <w:pStyle w:val="ListParagraph"/>
        <w:numPr>
          <w:ilvl w:val="0"/>
          <w:numId w:val="2"/>
        </w:numPr>
        <w:spacing w:after="100"/>
      </w:pPr>
      <w:r>
        <w:rPr>
          <w:rFonts w:ascii="Arial" w:cs="Arial" w:eastAsia="Arial" w:hAnsi="Arial"/>
          <w:b/>
          <w:bCs/>
          <w:sz w:val="22"/>
          <w:szCs w:val="22"/>
        </w:rPr>
        <w:t xml:space="preserve">AtomicCheckpointWriter</w:t>
      </w:r>
      <w:r>
        <w:rPr>
          <w:rFonts w:ascii="Arial" w:cs="Arial" w:eastAsia="Arial" w:hAnsi="Arial"/>
          <w:sz w:val="22"/>
          <w:szCs w:val="22"/>
        </w:rPr>
        <w:t xml:space="preserve"> — subscriber checkpoint + view checkpoint + dead-letter in a single SQLite transaction (INV-RF-04).</w:t>
      </w:r>
    </w:p>
    <w:p>
      <w:pPr>
        <w:pStyle w:val="ListParagraph"/>
        <w:numPr>
          <w:ilvl w:val="0"/>
          <w:numId w:val="2"/>
        </w:numPr>
        <w:spacing w:after="100"/>
      </w:pPr>
      <w:r>
        <w:rPr>
          <w:rFonts w:ascii="Arial" w:cs="Arial" w:eastAsia="Arial" w:hAnsi="Arial"/>
          <w:b/>
          <w:bCs/>
          <w:sz w:val="22"/>
          <w:szCs w:val="22"/>
        </w:rPr>
        <w:t xml:space="preserve">Jackson isolation (HARD RULE)</w:t>
      </w:r>
      <w:r>
        <w:rPr>
          <w:rFonts w:ascii="Arial" w:cs="Arial" w:eastAsia="Arial" w:hAnsi="Arial"/>
          <w:sz w:val="22"/>
          <w:szCs w:val="22"/>
        </w:rPr>
        <w:t xml:space="preserve"> — no Jackson types in any public API. Serialization is fully replaceable: swap 9 internal types, zero changes to records/schemas/other modules.</w:t>
      </w:r>
    </w:p>
    <w:p>
      <w:pPr>
        <w:pStyle w:val="Heading2"/>
        <w:spacing w:after="160" w:before="280"/>
      </w:pPr>
      <w:r>
        <w:rPr>
          <w:rFonts w:ascii="Arial" w:cs="Arial" w:eastAsia="Arial" w:hAnsi="Arial"/>
          <w:b/>
          <w:bCs/>
          <w:color w:val="2E75B6"/>
          <w:sz w:val="26"/>
          <w:szCs w:val="26"/>
        </w:rPr>
        <w:t xml:space="preserve">2.5 Contract Test Maturity</w:t>
      </w:r>
    </w:p>
    <w:p>
      <w:pPr>
        <w:spacing w:after="160"/>
      </w:pPr>
      <w:r>
        <w:rPr>
          <w:rFonts w:ascii="Arial" w:cs="Arial" w:eastAsia="Arial" w:hAnsi="Arial"/>
          <w:sz w:val="22"/>
          <w:szCs w:val="22"/>
        </w:rPr>
        <w:t xml:space="preserve">The research rates contract-test-first as the weakest decision, noting no published precedent. The actual implementation is more mature than implied:</w:t>
      </w:r>
    </w:p>
    <w:p>
      <w:pPr>
        <w:pStyle w:val="ListParagraph"/>
        <w:numPr>
          <w:ilvl w:val="0"/>
          <w:numId w:val="2"/>
        </w:numPr>
        <w:spacing w:after="100"/>
      </w:pPr>
      <w:r>
        <w:rPr>
          <w:rFonts w:ascii="Arial" w:cs="Arial" w:eastAsia="Arial" w:hAnsi="Arial"/>
          <w:b/>
          <w:bCs/>
          <w:sz w:val="22"/>
          <w:szCs w:val="22"/>
        </w:rPr>
        <w:t xml:space="preserve">EventStoreContractTest</w:t>
      </w:r>
      <w:r>
        <w:rPr>
          <w:rFonts w:ascii="Arial" w:cs="Arial" w:eastAsia="Arial" w:hAnsi="Arial"/>
          <w:sz w:val="22"/>
          <w:szCs w:val="22"/>
        </w:rPr>
        <w:t xml:space="preserve"> — 27 tests, 10 sections. Both InMemoryEventStore and SqliteEventStore pass the full suite.</w:t>
      </w:r>
    </w:p>
    <w:p>
      <w:pPr>
        <w:pStyle w:val="ListParagraph"/>
        <w:numPr>
          <w:ilvl w:val="0"/>
          <w:numId w:val="2"/>
        </w:numPr>
        <w:spacing w:after="100"/>
      </w:pPr>
      <w:r>
        <w:rPr>
          <w:rFonts w:ascii="Arial" w:cs="Arial" w:eastAsia="Arial" w:hAnsi="Arial"/>
          <w:b/>
          <w:bCs/>
          <w:sz w:val="22"/>
          <w:szCs w:val="22"/>
        </w:rPr>
        <w:t xml:space="preserve">EventBusContractTest</w:t>
      </w:r>
      <w:r>
        <w:rPr>
          <w:rFonts w:ascii="Arial" w:cs="Arial" w:eastAsia="Arial" w:hAnsi="Arial"/>
          <w:sz w:val="22"/>
          <w:szCs w:val="22"/>
        </w:rPr>
        <w:t xml:space="preserve"> — 44 tests, 10 nested tiers. Tiers 5–10 use assumeTrue(supportsActiveRuntime()) capability hooks.</w:t>
      </w:r>
    </w:p>
    <w:p>
      <w:pPr>
        <w:pStyle w:val="ListParagraph"/>
        <w:numPr>
          <w:ilvl w:val="0"/>
          <w:numId w:val="2"/>
        </w:numPr>
        <w:spacing w:after="100"/>
      </w:pPr>
      <w:r>
        <w:rPr>
          <w:rFonts w:ascii="Arial" w:cs="Arial" w:eastAsia="Arial" w:hAnsi="Arial"/>
          <w:b/>
          <w:bCs/>
          <w:sz w:val="22"/>
          <w:szCs w:val="22"/>
        </w:rPr>
        <w:t xml:space="preserve">StateProjectionContractTest</w:t>
      </w:r>
      <w:r>
        <w:rPr>
          <w:rFonts w:ascii="Arial" w:cs="Arial" w:eastAsia="Arial" w:hAnsi="Arial"/>
          <w:sz w:val="22"/>
          <w:szCs w:val="22"/>
        </w:rPr>
        <w:t xml:space="preserve"> — 9 tests extending SubscriberContractTest (4 tests). Covers two-phase discipline, reconciliation, self-filter.</w:t>
      </w:r>
    </w:p>
    <w:p>
      <w:pPr>
        <w:pStyle w:val="ListParagraph"/>
        <w:numPr>
          <w:ilvl w:val="0"/>
          <w:numId w:val="2"/>
        </w:numPr>
        <w:spacing w:after="100"/>
      </w:pPr>
      <w:r>
        <w:rPr>
          <w:rFonts w:ascii="Arial" w:cs="Arial" w:eastAsia="Arial" w:hAnsi="Arial"/>
          <w:b/>
          <w:bCs/>
          <w:sz w:val="22"/>
          <w:szCs w:val="22"/>
        </w:rPr>
        <w:t xml:space="preserve">DeadLetterStoreContractTest</w:t>
      </w:r>
      <w:r>
        <w:rPr>
          <w:rFonts w:ascii="Arial" w:cs="Arial" w:eastAsia="Arial" w:hAnsi="Arial"/>
          <w:sz w:val="22"/>
          <w:szCs w:val="22"/>
        </w:rPr>
        <w:t xml:space="preserve"> — 10 tests for persistent DLQ (idempotent upsert, per-subscriber isolation, null round-trip).</w:t>
      </w:r>
    </w:p>
    <w:p>
      <w:pPr>
        <w:spacing w:after="160"/>
      </w:pPr>
      <w:r>
        <w:rPr>
          <w:rFonts w:ascii="Arial" w:cs="Arial" w:eastAsia="Arial" w:hAnsi="Arial"/>
          <w:sz w:val="22"/>
          <w:szCs w:val="22"/>
        </w:rPr>
        <w:t xml:space="preserve">This is not Pact-style cross-service testing. It is abstract-class contract suites with testFixtures source sets — a well-established pattern in Java infrastructure libraries, applied with unusual rigor to application-layer module boundaries.</w:t>
      </w:r>
    </w:p>
    <w:p>
      <w:r>
        <w:br w:type="page"/>
      </w:r>
    </w:p>
    <w:p>
      <w:pPr>
        <w:pStyle w:val="Heading1"/>
        <w:spacing w:after="200" w:before="360"/>
      </w:pPr>
      <w:r>
        <w:rPr>
          <w:rFonts w:ascii="Arial" w:cs="Arial" w:eastAsia="Arial" w:hAnsi="Arial"/>
          <w:b/>
          <w:bCs/>
          <w:color w:val="1B3A5C"/>
          <w:sz w:val="32"/>
          <w:szCs w:val="32"/>
        </w:rPr>
        <w:t xml:space="preserve">Part 3: Risk Assessment — Research vs. Reality</w:t>
      </w:r>
    </w:p>
    <w:p>
      <w:pPr>
        <w:pStyle w:val="Heading2"/>
        <w:spacing w:after="160" w:before="280"/>
      </w:pPr>
      <w:r>
        <w:rPr>
          <w:rFonts w:ascii="Arial" w:cs="Arial" w:eastAsia="Arial" w:hAnsi="Arial"/>
          <w:b/>
          <w:bCs/>
          <w:color w:val="2E75B6"/>
          <w:sz w:val="26"/>
          <w:szCs w:val="26"/>
        </w:rPr>
        <w:t xml:space="preserve">3.1 JNI Pinning</w:t>
      </w:r>
    </w:p>
    <w:p>
      <w:pPr>
        <w:spacing w:after="160"/>
      </w:pPr>
      <w:r>
        <w:rPr>
          <w:rFonts w:ascii="Arial" w:cs="Arial" w:eastAsia="Arial" w:hAnsi="Arial"/>
          <w:b/>
          <w:bCs/>
          <w:sz w:val="22"/>
          <w:szCs w:val="22"/>
        </w:rPr>
        <w:t xml:space="preserve">Research rating: High. Actual: Mitigated.</w:t>
      </w:r>
    </w:p>
    <w:p>
      <w:pPr>
        <w:spacing w:after="160"/>
      </w:pPr>
      <w:r>
        <w:rPr>
          <w:rFonts w:ascii="Arial" w:cs="Arial" w:eastAsia="Arial" w:hAnsi="Arial"/>
          <w:sz w:val="22"/>
          <w:szCs w:val="22"/>
        </w:rPr>
        <w:t xml:space="preserve">All JDBC calls route through DatabaseExecutor. LTD-11 (no synchronized, enforced by ArchUnit) eliminates monitor-based pinning. JacksonWarmup prevents secondary pinning. Residual risk: bounded read pool (2 threads default) may bottleneck under heavy multi-subscriber replay.</w:t>
      </w:r>
    </w:p>
    <w:p>
      <w:pPr>
        <w:pStyle w:val="Heading2"/>
        <w:spacing w:after="160" w:before="280"/>
      </w:pPr>
      <w:r>
        <w:rPr>
          <w:rFonts w:ascii="Arial" w:cs="Arial" w:eastAsia="Arial" w:hAnsi="Arial"/>
          <w:b/>
          <w:bCs/>
          <w:color w:val="2E75B6"/>
          <w:sz w:val="26"/>
          <w:szCs w:val="26"/>
        </w:rPr>
        <w:t xml:space="preserve">3.2 WAL Growth</w:t>
      </w:r>
    </w:p>
    <w:p>
      <w:pPr>
        <w:spacing w:after="160"/>
      </w:pPr>
      <w:r>
        <w:rPr>
          <w:rFonts w:ascii="Arial" w:cs="Arial" w:eastAsia="Arial" w:hAnsi="Arial"/>
          <w:b/>
          <w:bCs/>
          <w:sz w:val="22"/>
          <w:szCs w:val="22"/>
        </w:rPr>
        <w:t xml:space="preserve">Research rating: High. Actual: Mitigated, empirically validated.</w:t>
      </w:r>
    </w:p>
    <w:p>
      <w:pPr>
        <w:spacing w:after="160"/>
      </w:pPr>
      <w:r>
        <w:rPr>
          <w:rFonts w:ascii="Arial" w:cs="Arial" w:eastAsia="Arial" w:hAnsi="Arial"/>
          <w:sz w:val="22"/>
          <w:szCs w:val="22"/>
        </w:rPr>
        <w:t xml:space="preserve">D1 WAL Pathology Spike validated bounded-window readers. AMD-39 WITHDRAWN. Checkpoint cadence built into projection model (FixedCheckpointPolicy.HOME_DEFAULT 200/2s). MaintenanceSubscriber: 6-hour interval, 1K-row purge chunks, ≤2s lock-hold. Residual risk: full production stack not yet benchmarked under sustained multi-subscriber load.</w:t>
      </w:r>
    </w:p>
    <w:p>
      <w:pPr>
        <w:pStyle w:val="Heading2"/>
        <w:spacing w:after="160" w:before="280"/>
      </w:pPr>
      <w:r>
        <w:rPr>
          <w:rFonts w:ascii="Arial" w:cs="Arial" w:eastAsia="Arial" w:hAnsi="Arial"/>
          <w:b/>
          <w:bCs/>
          <w:color w:val="2E75B6"/>
          <w:sz w:val="26"/>
          <w:szCs w:val="26"/>
        </w:rPr>
        <w:t xml:space="preserve">3.3 Memory on 4 GB Pi</w:t>
      </w:r>
    </w:p>
    <w:p>
      <w:pPr>
        <w:spacing w:after="160"/>
      </w:pPr>
      <w:r>
        <w:rPr>
          <w:rFonts w:ascii="Arial" w:cs="Arial" w:eastAsia="Arial" w:hAnsi="Arial"/>
          <w:b/>
          <w:bCs/>
          <w:sz w:val="22"/>
          <w:szCs w:val="22"/>
        </w:rPr>
        <w:t xml:space="preserve">Research rating: Medium. Actual: Medium.</w:t>
      </w:r>
    </w:p>
    <w:p>
      <w:pPr>
        <w:spacing w:after="160"/>
      </w:pPr>
      <w:r>
        <w:rPr>
          <w:rFonts w:ascii="Arial" w:cs="Arial" w:eastAsia="Arial" w:hAnsi="Arial"/>
          <w:sz w:val="22"/>
          <w:szCs w:val="22"/>
        </w:rPr>
        <w:t xml:space="preserve">JPMS+jlink reduces JRE to ~50 MB. No OSGi overhead. In-memory state with checkpoint serialization avoids dual footprint. Checkpoint size guardrail at 10 MB (advisory WARN). Unmitigated: no G1 vs Shenandoah comparison on real workload.</w:t>
      </w:r>
    </w:p>
    <w:p>
      <w:pPr>
        <w:pStyle w:val="Heading2"/>
        <w:spacing w:after="160" w:before="280"/>
      </w:pPr>
      <w:r>
        <w:rPr>
          <w:rFonts w:ascii="Arial" w:cs="Arial" w:eastAsia="Arial" w:hAnsi="Arial"/>
          <w:b/>
          <w:bCs/>
          <w:color w:val="2E75B6"/>
          <w:sz w:val="26"/>
          <w:szCs w:val="26"/>
        </w:rPr>
        <w:t xml:space="preserve">3.4 Contract-Test Methodology</w:t>
      </w:r>
    </w:p>
    <w:p>
      <w:pPr>
        <w:spacing w:after="160"/>
      </w:pPr>
      <w:r>
        <w:rPr>
          <w:rFonts w:ascii="Arial" w:cs="Arial" w:eastAsia="Arial" w:hAnsi="Arial"/>
          <w:b/>
          <w:bCs/>
          <w:sz w:val="22"/>
          <w:szCs w:val="22"/>
        </w:rPr>
        <w:t xml:space="preserve">Research rating: High. Actual: Medium.</w:t>
      </w:r>
    </w:p>
    <w:p>
      <w:pPr>
        <w:spacing w:after="160"/>
      </w:pPr>
      <w:r>
        <w:rPr>
          <w:rFonts w:ascii="Arial" w:cs="Arial" w:eastAsia="Arial" w:hAnsi="Arial"/>
          <w:sz w:val="22"/>
          <w:szCs w:val="22"/>
        </w:rPr>
        <w:t xml:space="preserve">The pattern (abstract-class behavioral contract suites with both in-memory and production implementations) has extensive precedent in Java infrastructure libraries. Risk is lower than “novel-but-unproven.” Stage 2 ROI evaluation remains valuable.</w:t>
      </w:r>
    </w:p>
    <w:p>
      <w:r>
        <w:br w:type="page"/>
      </w:r>
    </w:p>
    <w:p>
      <w:pPr>
        <w:pStyle w:val="Heading1"/>
        <w:spacing w:after="200" w:before="360"/>
      </w:pPr>
      <w:r>
        <w:rPr>
          <w:rFonts w:ascii="Arial" w:cs="Arial" w:eastAsia="Arial" w:hAnsi="Arial"/>
          <w:b/>
          <w:bCs/>
          <w:color w:val="1B3A5C"/>
          <w:sz w:val="32"/>
          <w:szCs w:val="32"/>
        </w:rPr>
        <w:t xml:space="preserve">Part 4: Competitive Positioning</w:t>
      </w:r>
    </w:p>
    <w:p>
      <w:pPr>
        <w:pStyle w:val="Heading2"/>
        <w:spacing w:after="160" w:before="280"/>
      </w:pPr>
      <w:r>
        <w:rPr>
          <w:rFonts w:ascii="Arial" w:cs="Arial" w:eastAsia="Arial" w:hAnsi="Arial"/>
          <w:b/>
          <w:bCs/>
          <w:color w:val="2E75B6"/>
          <w:sz w:val="26"/>
          <w:szCs w:val="26"/>
        </w:rPr>
        <w:t xml:space="preserve">4.1 vs. Home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Home Assistant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HomeSynapse 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State reads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SQLAlchemy query against mutable recorder DB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ConcurrentHashMap.get() — lock-free, sub-100μs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Write amplification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Per-state-change UPDATE on recorder DB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INSERT, no UPDATE/DELETE on hot path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growth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GB at 70-day retention (user reports)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Priority-based retention (7d/90d/365d), bounded purge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Startup (large)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6–15 min on Pi 4 with many integrations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from checkpoint (target: &lt;30s, 500+ entities)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Crash recovery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Recorder DB journaling consistency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from checkpoint + AtomicCheckpointWriter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 bus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asyncio, integration-specific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Pull-based, 5-mode FSM, per-subscriber VT, circuit breaker</w:t>
            </w:r>
          </w:p>
        </w:tc>
      </w:tr>
    </w:tbl>
    <w:p>
      <w:pPr>
        <w:spacing w:after="200"/>
      </w:pPr>
    </w:p>
    <w:p>
      <w:pPr>
        <w:pStyle w:val="Heading2"/>
        <w:spacing w:after="160" w:before="280"/>
      </w:pPr>
      <w:r>
        <w:rPr>
          <w:rFonts w:ascii="Arial" w:cs="Arial" w:eastAsia="Arial" w:hAnsi="Arial"/>
          <w:b/>
          <w:bCs/>
          <w:color w:val="2E75B6"/>
          <w:sz w:val="26"/>
          <w:szCs w:val="26"/>
        </w:rPr>
        <w:t xml:space="preserve">4.2 vs. openHAB</w:t>
      </w:r>
    </w:p>
    <w:p>
      <w:pPr>
        <w:spacing w:after="160"/>
      </w:pPr>
      <w:r>
        <w:rPr>
          <w:rFonts w:ascii="Arial" w:cs="Arial" w:eastAsia="Arial" w:hAnsi="Arial"/>
          <w:sz w:val="22"/>
          <w:szCs w:val="22"/>
        </w:rPr>
        <w:t xml:space="preserve">JPMS advantage over OSGi is real and quantifiable. openHAB’s ~1 GB RSS with 8 sensors vs. HomeSynapse’s target of sub-1 GB with 500+ entities. Jackson isolation invariant demonstrates the encapsulation discipline OSGi was designed to enforce, achieved at lower runtime cost.</w:t>
      </w:r>
    </w:p>
    <w:p>
      <w:pPr>
        <w:pStyle w:val="Heading2"/>
        <w:spacing w:after="160" w:before="280"/>
      </w:pPr>
      <w:r>
        <w:rPr>
          <w:rFonts w:ascii="Arial" w:cs="Arial" w:eastAsia="Arial" w:hAnsi="Arial"/>
          <w:b/>
          <w:bCs/>
          <w:color w:val="2E75B6"/>
          <w:sz w:val="26"/>
          <w:szCs w:val="26"/>
        </w:rPr>
        <w:t xml:space="preserve">4.3 vs. Hubitat &amp; Enterprise BMS</w:t>
      </w:r>
    </w:p>
    <w:p>
      <w:pPr>
        <w:spacing w:after="160"/>
      </w:pPr>
      <w:r>
        <w:rPr>
          <w:rFonts w:ascii="Arial" w:cs="Arial" w:eastAsia="Arial" w:hAnsi="Arial"/>
          <w:sz w:val="22"/>
          <w:szCs w:val="22"/>
        </w:rPr>
        <w:t xml:space="preserve">Hubitat: HomeSynapse has 2× RAM, ~100× IOPS, and orders-of-magnitude more replay throughput. Competitive question is plug-and-play simplicity, not performance. Enterprise BMS: different paradigm entirely. Right positioning per the research: “enterprise-grade engineering in a home-assistant-class product.”</w:t>
      </w:r>
    </w:p>
    <w:p>
      <w:r>
        <w:br w:type="page"/>
      </w:r>
    </w:p>
    <w:p>
      <w:pPr>
        <w:pStyle w:val="Heading1"/>
        <w:spacing w:after="200" w:before="360"/>
      </w:pPr>
      <w:r>
        <w:rPr>
          <w:rFonts w:ascii="Arial" w:cs="Arial" w:eastAsia="Arial" w:hAnsi="Arial"/>
          <w:b/>
          <w:bCs/>
          <w:color w:val="1B3A5C"/>
          <w:sz w:val="32"/>
          <w:szCs w:val="32"/>
        </w:rPr>
        <w:t xml:space="preserve">Part 5: Research Recommendations — Refined</w:t>
      </w:r>
    </w:p>
    <w:p>
      <w:pPr>
        <w:pStyle w:val="Heading2"/>
        <w:spacing w:after="160" w:before="280"/>
      </w:pPr>
      <w:r>
        <w:rPr>
          <w:rFonts w:ascii="Arial" w:cs="Arial" w:eastAsia="Arial" w:hAnsi="Arial"/>
          <w:b/>
          <w:bCs/>
          <w:color w:val="2E75B6"/>
          <w:sz w:val="26"/>
          <w:szCs w:val="26"/>
        </w:rPr>
        <w:t xml:space="preserve">5.1 Performance Envelope (Stage 1)</w:t>
      </w:r>
    </w:p>
    <w:p>
      <w:pPr>
        <w:spacing w:after="160"/>
      </w:pPr>
      <w:r>
        <w:rPr>
          <w:rFonts w:ascii="Arial" w:cs="Arial" w:eastAsia="Arial" w:hAnsi="Arial"/>
          <w:b/>
          <w:bCs/>
          <w:sz w:val="22"/>
          <w:szCs w:val="22"/>
        </w:rPr>
        <w:t xml:space="preserve">Verdict: Essential, with refinements. </w:t>
      </w:r>
      <w:r>
        <w:rPr>
          <w:rFonts w:ascii="Arial" w:cs="Arial" w:eastAsia="Arial" w:hAnsi="Arial"/>
          <w:sz w:val="22"/>
          <w:szCs w:val="22"/>
        </w:rPr>
        <w:t xml:space="preserve">D1 WAL Spike validates bounded-window pattern in isolation; full production stack (bus + projection + all subscribers) not yet benchmarked. Add a fourth benchmark: PlatformThreadReadExecutor throughput ceiling with 5+ concurrent subscribers. 2-thread default may be the first bottleneck.</w:t>
      </w:r>
    </w:p>
    <w:p>
      <w:pPr>
        <w:pStyle w:val="Heading2"/>
        <w:spacing w:after="160" w:before="280"/>
      </w:pPr>
      <w:r>
        <w:rPr>
          <w:rFonts w:ascii="Arial" w:cs="Arial" w:eastAsia="Arial" w:hAnsi="Arial"/>
          <w:b/>
          <w:bCs/>
          <w:color w:val="2E75B6"/>
          <w:sz w:val="26"/>
          <w:szCs w:val="26"/>
        </w:rPr>
        <w:t xml:space="preserve">5.2 Contract-Test ROI (Stage 2)</w:t>
      </w:r>
    </w:p>
    <w:p>
      <w:pPr>
        <w:spacing w:after="160"/>
      </w:pPr>
      <w:r>
        <w:rPr>
          <w:rFonts w:ascii="Arial" w:cs="Arial" w:eastAsia="Arial" w:hAnsi="Arial"/>
          <w:b/>
          <w:bCs/>
          <w:sz w:val="22"/>
          <w:szCs w:val="22"/>
        </w:rPr>
        <w:t xml:space="preserve">Verdict: Partially superseded. </w:t>
      </w:r>
      <w:r>
        <w:rPr>
          <w:rFonts w:ascii="Arial" w:cs="Arial" w:eastAsia="Arial" w:hAnsi="Arial"/>
          <w:sz w:val="22"/>
          <w:szCs w:val="22"/>
        </w:rPr>
        <w:t xml:space="preserve">The codebase already uses abstract-class contract tests extensively. Reframe as: measure defect detection rate of existing infrastructure. SqliteEventStore’s 27-test suite catches behavioral divergences (cursor pagination, DegradedEvent fallback) that unit tests would miss.</w:t>
      </w:r>
    </w:p>
    <w:p>
      <w:pPr>
        <w:pStyle w:val="Heading2"/>
        <w:spacing w:after="160" w:before="280"/>
      </w:pPr>
      <w:r>
        <w:rPr>
          <w:rFonts w:ascii="Arial" w:cs="Arial" w:eastAsia="Arial" w:hAnsi="Arial"/>
          <w:b/>
          <w:bCs/>
          <w:color w:val="2E75B6"/>
          <w:sz w:val="26"/>
          <w:szCs w:val="26"/>
        </w:rPr>
        <w:t xml:space="preserve">5.3 Java 25 Migration (Stage 3)</w:t>
      </w:r>
    </w:p>
    <w:p>
      <w:pPr>
        <w:spacing w:after="160"/>
      </w:pPr>
      <w:r>
        <w:rPr>
          <w:rFonts w:ascii="Arial" w:cs="Arial" w:eastAsia="Arial" w:hAnsi="Arial"/>
          <w:b/>
          <w:bCs/>
          <w:sz w:val="22"/>
          <w:szCs w:val="22"/>
        </w:rPr>
        <w:t xml:space="preserve">Verdict: Correct, with nuance. </w:t>
      </w:r>
      <w:r>
        <w:rPr>
          <w:rFonts w:ascii="Arial" w:cs="Arial" w:eastAsia="Arial" w:hAnsi="Arial"/>
          <w:sz w:val="22"/>
          <w:szCs w:val="22"/>
        </w:rPr>
        <w:t xml:space="preserve">LTD-11 (no synchronized, ArchUnit-enforced) means JEP 491’s monitor fix has limited impact on HomeSynapse itself. Residual benefit is in third-party libraries. JNI pinning for sqlite-jdbc is permanent regardless of Java version.</w:t>
      </w:r>
    </w:p>
    <w:p>
      <w:pPr>
        <w:pStyle w:val="Heading2"/>
        <w:spacing w:after="160" w:before="280"/>
      </w:pPr>
      <w:r>
        <w:rPr>
          <w:rFonts w:ascii="Arial" w:cs="Arial" w:eastAsia="Arial" w:hAnsi="Arial"/>
          <w:b/>
          <w:bCs/>
          <w:color w:val="2E75B6"/>
          <w:sz w:val="26"/>
          <w:szCs w:val="26"/>
        </w:rPr>
        <w:t xml:space="preserve">5.4 Competitive Positioning (Stage 4)</w:t>
      </w:r>
    </w:p>
    <w:p>
      <w:pPr>
        <w:spacing w:after="160"/>
      </w:pPr>
      <w:r>
        <w:rPr>
          <w:rFonts w:ascii="Arial" w:cs="Arial" w:eastAsia="Arial" w:hAnsi="Arial"/>
          <w:b/>
          <w:bCs/>
          <w:sz w:val="22"/>
          <w:szCs w:val="22"/>
        </w:rPr>
        <w:t xml:space="preserve">Verdict: Correct and actionable. </w:t>
      </w:r>
      <w:r>
        <w:rPr>
          <w:rFonts w:ascii="Arial" w:cs="Arial" w:eastAsia="Arial" w:hAnsi="Arial"/>
          <w:sz w:val="22"/>
          <w:szCs w:val="22"/>
        </w:rPr>
        <w:t xml:space="preserve">Most powerful benchmark: identical 500-entity installation on Pi 5 + NVMe comparing startup time, steady-state RAM, state query latency, and 30-day storage growth. HomeSynapse should win all four by large margins.</w:t>
      </w:r>
    </w:p>
    <w:p>
      <w:pPr>
        <w:pStyle w:val="Heading2"/>
        <w:spacing w:after="160" w:before="280"/>
      </w:pPr>
      <w:r>
        <w:rPr>
          <w:rFonts w:ascii="Arial" w:cs="Arial" w:eastAsia="Arial" w:hAnsi="Arial"/>
          <w:b/>
          <w:bCs/>
          <w:color w:val="2E75B6"/>
          <w:sz w:val="26"/>
          <w:szCs w:val="26"/>
        </w:rPr>
        <w:t xml:space="preserve">5.5 Survivability Strategy (Stage 5)</w:t>
      </w:r>
    </w:p>
    <w:p>
      <w:pPr>
        <w:spacing w:after="160"/>
      </w:pPr>
      <w:r>
        <w:rPr>
          <w:rFonts w:ascii="Arial" w:cs="Arial" w:eastAsia="Arial" w:hAnsi="Arial"/>
          <w:b/>
          <w:bCs/>
          <w:sz w:val="22"/>
          <w:szCs w:val="22"/>
        </w:rPr>
        <w:t xml:space="preserve">Verdict: Strategically important. </w:t>
      </w:r>
      <w:r>
        <w:rPr>
          <w:rFonts w:ascii="Arial" w:cs="Arial" w:eastAsia="Arial" w:hAnsi="Arial"/>
          <w:sz w:val="22"/>
          <w:szCs w:val="22"/>
        </w:rPr>
        <w:t xml:space="preserve">Copyright headers are proprietary (“All rights reserved”). Foundation model decision needed before community contributions. Open Home Foundation is the natural fit.</w:t>
      </w:r>
    </w:p>
    <w:p>
      <w:r>
        <w:br w:type="page"/>
      </w:r>
    </w:p>
    <w:p>
      <w:pPr>
        <w:pStyle w:val="Heading1"/>
        <w:spacing w:after="200" w:before="360"/>
      </w:pPr>
      <w:r>
        <w:rPr>
          <w:rFonts w:ascii="Arial" w:cs="Arial" w:eastAsia="Arial" w:hAnsi="Arial"/>
          <w:b/>
          <w:bCs/>
          <w:color w:val="1B3A5C"/>
          <w:sz w:val="32"/>
          <w:szCs w:val="32"/>
        </w:rPr>
        <w:t xml:space="preserve">Part 6: Risks the Research Did Not Identify</w:t>
      </w:r>
    </w:p>
    <w:p>
      <w:pPr>
        <w:pStyle w:val="Heading2"/>
        <w:spacing w:after="160" w:before="280"/>
      </w:pPr>
      <w:r>
        <w:rPr>
          <w:rFonts w:ascii="Arial" w:cs="Arial" w:eastAsia="Arial" w:hAnsi="Arial"/>
          <w:b/>
          <w:bCs/>
          <w:color w:val="2E75B6"/>
          <w:sz w:val="26"/>
          <w:szCs w:val="26"/>
        </w:rPr>
        <w:t xml:space="preserve">6.1 Composition Root Gap</w:t>
      </w:r>
    </w:p>
    <w:p>
      <w:pPr>
        <w:spacing w:after="160"/>
      </w:pPr>
      <w:r>
        <w:rPr>
          <w:rFonts w:ascii="Arial" w:cs="Arial" w:eastAsia="Arial" w:hAnsi="Arial"/>
          <w:sz w:val="22"/>
          <w:szCs w:val="22"/>
        </w:rPr>
        <w:t xml:space="preserve">19 modules with well-defined contracts, but the lifecycle module (composition root) is partially implemented. Wiring InProcessEventBus to StateProjection to SqliteEventStore with correct subscriber registrations, DerivedWriteRateLimit instances, QueueSaturationHealthCheck scheduler, and ordered startup/shutdown is the most critical remaining integration work.</w:t>
      </w:r>
    </w:p>
    <w:p>
      <w:pPr>
        <w:pStyle w:val="Heading2"/>
        <w:spacing w:after="160" w:before="280"/>
      </w:pPr>
      <w:r>
        <w:rPr>
          <w:rFonts w:ascii="Arial" w:cs="Arial" w:eastAsia="Arial" w:hAnsi="Arial"/>
          <w:b/>
          <w:bCs/>
          <w:color w:val="2E75B6"/>
          <w:sz w:val="26"/>
          <w:szCs w:val="26"/>
        </w:rPr>
        <w:t xml:space="preserve">6.2 Derived Event Amplification</w:t>
      </w:r>
    </w:p>
    <w:p>
      <w:pPr>
        <w:spacing w:after="160"/>
      </w:pPr>
      <w:r>
        <w:rPr>
          <w:rFonts w:ascii="Arial" w:cs="Arial" w:eastAsia="Arial" w:hAnsi="Arial"/>
          <w:sz w:val="22"/>
          <w:szCs w:val="22"/>
        </w:rPr>
        <w:t xml:space="preserve">StateProjection derives state_changed from state_reported and publishes back through EventPublisher. SelfProducedFilter (60s TTL) prevents loops; DerivedWriteRateLimit (200/sec) caps throughput. But interaction between multiple subscribers producing derived events has not been tested at scale. Pathological cascade could stress the single-writer bottleneck.</w:t>
      </w:r>
    </w:p>
    <w:p>
      <w:pPr>
        <w:pStyle w:val="Heading2"/>
        <w:spacing w:after="160" w:before="280"/>
      </w:pPr>
      <w:r>
        <w:rPr>
          <w:rFonts w:ascii="Arial" w:cs="Arial" w:eastAsia="Arial" w:hAnsi="Arial"/>
          <w:b/>
          <w:bCs/>
          <w:color w:val="2E75B6"/>
          <w:sz w:val="26"/>
          <w:szCs w:val="26"/>
        </w:rPr>
        <w:t xml:space="preserve">6.3 Schema Evolution</w:t>
      </w:r>
    </w:p>
    <w:p>
      <w:pPr>
        <w:spacing w:after="160"/>
      </w:pPr>
      <w:r>
        <w:rPr>
          <w:rFonts w:ascii="Arial" w:cs="Arial" w:eastAsia="Arial" w:hAnsi="Arial"/>
          <w:sz w:val="22"/>
          <w:szCs w:val="22"/>
        </w:rPr>
        <w:t xml:space="preserve">Machinery exists (schemaVersion, DegradedEvent, lenient decode). But upcasters — components transforming payloads from version N to N+1 during replay — are not yet implemented. For a 5–10 year system, this is a critical gap.</w:t>
      </w:r>
    </w:p>
    <w:p>
      <w:pPr>
        <w:pStyle w:val="Heading2"/>
        <w:spacing w:after="160" w:before="280"/>
      </w:pPr>
      <w:r>
        <w:rPr>
          <w:rFonts w:ascii="Arial" w:cs="Arial" w:eastAsia="Arial" w:hAnsi="Arial"/>
          <w:b/>
          <w:bCs/>
          <w:color w:val="2E75B6"/>
          <w:sz w:val="26"/>
          <w:szCs w:val="26"/>
        </w:rPr>
        <w:t xml:space="preserve">6.4 Multi-User Experience</w:t>
      </w:r>
    </w:p>
    <w:p>
      <w:pPr>
        <w:spacing w:after="160"/>
      </w:pPr>
      <w:r>
        <w:rPr>
          <w:rFonts w:ascii="Arial" w:cs="Arial" w:eastAsia="Arial" w:hAnsi="Arial"/>
          <w:sz w:val="22"/>
          <w:szCs w:val="22"/>
        </w:rPr>
        <w:t xml:space="preserve">actorRef on every EventEnvelope enables per-user audit (INV-MU-01). PersonId exists. But REST API auth model and family/guest/role interaction model are interface specs without implementation.</w:t>
      </w:r>
    </w:p>
    <w:p>
      <w:r>
        <w:br w:type="page"/>
      </w:r>
    </w:p>
    <w:p>
      <w:pPr>
        <w:pStyle w:val="Heading1"/>
        <w:spacing w:after="200" w:before="360"/>
      </w:pPr>
      <w:r>
        <w:rPr>
          <w:rFonts w:ascii="Arial" w:cs="Arial" w:eastAsia="Arial" w:hAnsi="Arial"/>
          <w:b/>
          <w:bCs/>
          <w:color w:val="1B3A5C"/>
          <w:sz w:val="32"/>
          <w:szCs w:val="32"/>
        </w:rPr>
        <w:t xml:space="preserve">Conclusion</w:t>
      </w:r>
    </w:p>
    <w:p>
      <w:pPr>
        <w:spacing w:after="160"/>
      </w:pPr>
      <w:r>
        <w:rPr>
          <w:rFonts w:ascii="Arial" w:cs="Arial" w:eastAsia="Arial" w:hAnsi="Arial"/>
          <w:sz w:val="22"/>
          <w:szCs w:val="22"/>
        </w:rPr>
        <w:t xml:space="preserve">HomeSynapse Core is a genuinely well-engineered system that validates the research’s directional thesis while exceeding its expectations on implementation depth. The pull-based event bus, two-phase projection discipline, JFR-native observability, and Jackson isolation invariant are production-grade implementations that no other residential smart home platform matches.</w:t>
      </w:r>
    </w:p>
    <w:p>
      <w:pPr>
        <w:spacing w:after="160"/>
      </w:pPr>
      <w:r>
        <w:rPr>
          <w:rFonts w:ascii="Arial" w:cs="Arial" w:eastAsia="Arial" w:hAnsi="Arial"/>
          <w:sz w:val="22"/>
          <w:szCs w:val="22"/>
        </w:rPr>
        <w:t xml:space="preserve">The research’s risk identification is accurate: JNI pinning, WAL growth, and memory pressure are real constraints, but the codebase has shipped concrete mitigations for each. The residual risk is in untested interactions: full-stack sustained benchmarks, multi-subscriber derived-event cascades, and the composition root.</w:t>
      </w:r>
    </w:p>
    <w:p>
      <w:pPr>
        <w:spacing w:after="160"/>
      </w:pPr>
      <w:r>
        <w:rPr>
          <w:rFonts w:ascii="Arial" w:cs="Arial" w:eastAsia="Arial" w:hAnsi="Arial"/>
          <w:sz w:val="22"/>
          <w:szCs w:val="22"/>
        </w:rPr>
        <w:t xml:space="preserve">The competitive positioning recommendation stands: benchmark against Home Assistant on identical hardware and let the numbers tell the story. If the 100μs reads, append-only writes, and sub-30-second startup hold under 500 entities, the product has a compelling performance narrative no competitor in the residential local-first category can match.</w:t>
      </w:r>
    </w:p>
    <w:p>
      <w:pPr>
        <w:spacing w:after="160"/>
      </w:pPr>
      <w:r>
        <w:rPr>
          <w:rFonts w:ascii="Arial" w:cs="Arial" w:eastAsia="Arial" w:hAnsi="Arial"/>
          <w:b/>
          <w:bCs/>
          <w:sz w:val="22"/>
          <w:szCs w:val="22"/>
        </w:rPr>
        <w:t xml:space="preserve">Next critical milestone: </w:t>
      </w:r>
      <w:r>
        <w:rPr>
          <w:rFonts w:ascii="Arial" w:cs="Arial" w:eastAsia="Arial" w:hAnsi="Arial"/>
          <w:sz w:val="22"/>
          <w:szCs w:val="22"/>
        </w:rPr>
        <w:t xml:space="preserve">Complete the lifecycle module composition root (M3.6), then execute Stage 1 performance benchmarks on real Pi 5 + NVMe hardware. Everything else follows from those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NexSys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i/>
        <w:iCs/>
        <w:color w:val="888888"/>
        <w:sz w:val="18"/>
        <w:szCs w:val="18"/>
      </w:rPr>
      <w:t xml:space="preserve">HomeSynapse Core — Architecture &amp; Competitive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2026-05-19T03:13:50.462Z</dcterms:created>
  <dcterms:modified xsi:type="dcterms:W3CDTF">2026-05-19T03:13:50.462Z</dcterms:modified>
</cp:coreProperties>
</file>

<file path=docProps/custom.xml><?xml version="1.0" encoding="utf-8"?>
<Properties xmlns="http://schemas.openxmlformats.org/officeDocument/2006/custom-properties" xmlns:vt="http://schemas.openxmlformats.org/officeDocument/2006/docPropsVTypes"/>
</file>