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aps/>
          <w:color w:val="3FA6C9"/>
          <w:sz w:val="20"/>
          <w:szCs w:val="20"/>
        </w:rPr>
        <w:t xml:space="preserve">NEXSYS STRATEGIC INTELLIGENCE</w:t>
      </w:r>
    </w:p>
    <w:p>
      <w:pPr>
        <w:spacing w:after="200"/>
        <w:jc w:val="center"/>
      </w:pPr>
      <w:r>
        <w:rPr>
          <w:rFonts w:ascii="Arial" w:cs="Arial" w:eastAsia="Arial" w:hAnsi="Arial"/>
          <w:b/>
          <w:bCs/>
          <w:color w:val="1A1A2E"/>
          <w:sz w:val="56"/>
          <w:szCs w:val="56"/>
        </w:rPr>
        <w:t xml:space="preserve">From Platform to Institution</w:t>
      </w:r>
    </w:p>
    <w:p>
      <w:pPr>
        <w:spacing w:after="120"/>
        <w:jc w:val="center"/>
      </w:pPr>
      <w:r>
        <w:rPr>
          <w:rFonts w:ascii="Arial" w:cs="Arial" w:eastAsia="Arial" w:hAnsi="Arial"/>
          <w:color w:val="4A4A5A"/>
          <w:sz w:val="26"/>
          <w:szCs w:val="26"/>
        </w:rPr>
        <w:t xml:space="preserve">How HomeSynapse Expands from Technical Superiority into the</w:t>
      </w:r>
    </w:p>
    <w:p>
      <w:pPr>
        <w:spacing w:after="120"/>
        <w:jc w:val="center"/>
      </w:pPr>
      <w:r>
        <w:rPr>
          <w:rFonts w:ascii="Arial" w:cs="Arial" w:eastAsia="Arial" w:hAnsi="Arial"/>
          <w:color w:val="4A4A5A"/>
          <w:sz w:val="26"/>
          <w:szCs w:val="26"/>
        </w:rPr>
        <w:t xml:space="preserve">Infrastructure Layer of the Modern Home</w:t>
      </w:r>
    </w:p>
    <w:p>
      <w:pPr>
        <w:spacing w:after="600"/>
      </w:pPr>
    </w:p>
    <w:p>
      <w:pPr>
        <w:spacing w:after="80"/>
        <w:jc w:val="center"/>
      </w:pPr>
      <w:r>
        <w:rPr>
          <w:rFonts w:ascii="Arial" w:cs="Arial" w:eastAsia="Arial" w:hAnsi="Arial"/>
          <w:color w:val="4A4A5A"/>
          <w:sz w:val="22"/>
          <w:szCs w:val="22"/>
        </w:rPr>
        <w:t xml:space="preserve">Prepared for NexSys Leadership</w:t>
      </w:r>
    </w:p>
    <w:p>
      <w:pPr>
        <w:spacing w:after="80"/>
        <w:jc w:val="center"/>
      </w:pPr>
      <w:r>
        <w:rPr>
          <w:rFonts w:ascii="Arial" w:cs="Arial" w:eastAsia="Arial" w:hAnsi="Arial"/>
          <w:color w:val="4A4A5A"/>
          <w:sz w:val="22"/>
          <w:szCs w:val="22"/>
        </w:rPr>
        <w:t xml:space="preserve">March 2026</w:t>
      </w:r>
    </w:p>
    <w:p>
      <w:pPr>
        <w:spacing w:after="80"/>
        <w:jc w:val="center"/>
      </w:pPr>
      <w:r>
        <w:rPr>
          <w:rFonts w:ascii="Arial" w:cs="Arial" w:eastAsia="Arial" w:hAnsi="Arial"/>
          <w:i/>
          <w:iCs/>
          <w:color w:val="3FA6C9"/>
          <w:sz w:val="20"/>
          <w:szCs w:val="20"/>
        </w:rPr>
        <w:t xml:space="preserve">Classification: Internal — Strategic</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200" w:line="300"/>
      </w:pPr>
      <w:r>
        <w:rPr>
          <w:rFonts w:ascii="Arial" w:cs="Arial" w:eastAsia="Arial" w:hAnsi="Arial"/>
          <w:color w:val="1A1A2E"/>
          <w:sz w:val="22"/>
          <w:szCs w:val="22"/>
        </w:rPr>
        <w:t xml:space="preserve">This document addresses a specific strategic question: HomeSynapse has achieved technical superiority over Home Assistant and other smart home platforms, the core MVP is generating meaningful revenue, and the company must now decide how to simultaneously broaden its appeal to mainstream single-home consumers while positioning NexSys products as the obvious institutional choice for the converging energy, insurance, healthcare, and resilience markets. These two objectives are not competing priorities. They are reinforcing halves of a single strategy, and the architecture NexSys has already built is the reason they can be pursued in parallel.</w:t>
      </w:r>
    </w:p>
    <w:p>
      <w:pPr>
        <w:spacing w:after="200" w:line="300"/>
      </w:pPr>
      <w:r>
        <w:rPr>
          <w:rFonts w:ascii="Arial" w:cs="Arial" w:eastAsia="Arial" w:hAnsi="Arial"/>
          <w:color w:val="1A1A2E"/>
          <w:sz w:val="22"/>
          <w:szCs w:val="22"/>
        </w:rPr>
        <w:t xml:space="preserve">The central argument of this report is that the consumer expansion and the institutional pivot share the same foundational requirement: HomeSynapse must evolve from being perceived as a technically excellent smart home hub into being understood as the private, local control plane through which homes interact with the institutional systems that are rapidly forming around them. The homeowner who installs HomeSynapse to manage their lights and thermostat is the same homeowner who, eighteen months later, enrolls in a utility demand response program, receives an insurance premium discount for verified water monitoring, and sets up ambient activity tracking for an aging parent. The product surface changes at each stage, but the underlying infrastructure is the same event-sourced, local-first runtime.</w:t>
      </w:r>
    </w:p>
    <w:p>
      <w:pPr>
        <w:spacing w:after="200" w:line="300"/>
      </w:pPr>
      <w:r>
        <w:rPr>
          <w:rFonts w:ascii="Arial" w:cs="Arial" w:eastAsia="Arial" w:hAnsi="Arial"/>
          <w:color w:val="1A1A2E"/>
          <w:sz w:val="22"/>
          <w:szCs w:val="22"/>
        </w:rPr>
        <w:t xml:space="preserve">What follows is a detailed strategic framework for executing both expansions. It is organized as a continuous argument rather than a collection of separate recommendations, because the logic of each decision depends on understanding how it connects to the others. The consumer strategy informs the institutional strategy. The institutional partnerships reduce consumer acquisition costs. The revenue from institutional relationships funds the product development that makes the consumer experience better. Every element is load-bearing.</w:t>
      </w:r>
    </w:p>
    <w:p>
      <w:pPr>
        <w:pBdr>
          <w:bottom w:val="single" w:color="3FA6C9" w:sz="6" w:space="1"/>
        </w:pBdr>
        <w:spacing w:before="240" w:after="240"/>
      </w:pPr>
    </w:p>
    <w:p>
      <w:pPr>
        <w:pStyle w:val="Heading1"/>
      </w:pPr>
      <w:r>
        <w:rPr>
          <w:rFonts w:ascii="Arial" w:cs="Arial" w:eastAsia="Arial" w:hAnsi="Arial"/>
        </w:rPr>
        <w:t xml:space="preserve">Part One: The Starting Position and What It Actually Means</w:t>
      </w:r>
    </w:p>
    <w:p>
      <w:pPr>
        <w:pStyle w:val="Heading2"/>
      </w:pPr>
      <w:r>
        <w:rPr>
          <w:rFonts w:ascii="Arial" w:cs="Arial" w:eastAsia="Arial" w:hAnsi="Arial"/>
        </w:rPr>
        <w:t xml:space="preserve">What Technical Superiority Buys and What It Does Not</w:t>
      </w:r>
    </w:p>
    <w:p>
      <w:pPr>
        <w:spacing w:after="200" w:line="300"/>
      </w:pPr>
      <w:r>
        <w:rPr>
          <w:rFonts w:ascii="Arial" w:cs="Arial" w:eastAsia="Arial" w:hAnsi="Arial"/>
          <w:color w:val="1A1A2E"/>
          <w:sz w:val="22"/>
          <w:szCs w:val="22"/>
        </w:rPr>
        <w:t xml:space="preserve">Let us begin with an honest assessment of what it means that HomeSynapse technically exceeds the capabilities of Home Assistant and other platform competitors. It means that the event-sourced architecture delivers genuine reliability under load, that crash isolation prevents a single bad integration from taking down the system, that the event log provides explainability no competitor can match, that local-first operation guarantees functionality during internet outages, and that the energy-aware data model supports first-class grid interaction without the architectural retrofitting that Home Assistant would require. These are real, meaningful, and hard-won advantages.</w:t>
      </w:r>
    </w:p>
    <w:p>
      <w:pPr>
        <w:spacing w:after="200" w:line="300"/>
      </w:pPr>
      <w:r>
        <w:rPr>
          <w:rFonts w:ascii="Arial" w:cs="Arial" w:eastAsia="Arial" w:hAnsi="Arial"/>
          <w:color w:val="1A1A2E"/>
          <w:sz w:val="22"/>
          <w:szCs w:val="22"/>
        </w:rPr>
        <w:t xml:space="preserve">What technical superiority does not buy is market dominance, consumer trust, or institutional credibility. Home Assistant has two million installations and a community that has been building integrations, writing documentation, and evangelizing the platform for over a decade. Google Home has twenty-seven percent of US household penetration. Amazon Alexa has thirty-four percent. Apple HomeKit has eighteen percent. SmartRent has eight hundred and ninety thousand MDU units under management. These numbers represent installed base, brand recognition, switching costs, and ecosystem momentum. Technical superiority is a necessary condition for the expansion NexSys is contemplating. It is not a sufficient one.</w:t>
      </w:r>
    </w:p>
    <w:p>
      <w:pPr>
        <w:spacing w:after="200" w:line="300"/>
      </w:pPr>
      <w:r>
        <w:rPr>
          <w:rFonts w:ascii="Arial" w:cs="Arial" w:eastAsia="Arial" w:hAnsi="Arial"/>
          <w:color w:val="1A1A2E"/>
          <w:sz w:val="22"/>
          <w:szCs w:val="22"/>
        </w:rPr>
        <w:t xml:space="preserve">The strategic question, then, is not whether HomeSynapse is better. It is whether NexSys can translate architectural quality into the specific forms of value that cause ordinary homeowners to choose it over familiar alternatives, and that cause institutional buyers to bet their programs on it rather than building their own or partnering with incumbents. The answer to both questions is yes, but only if the company understands that the mechanism of that translation is different for each audience, and that both mechanisms must operate simultaneously.</w:t>
      </w:r>
    </w:p>
    <w:p>
      <w:pPr>
        <w:pStyle w:val="Heading2"/>
      </w:pPr>
      <w:r>
        <w:rPr>
          <w:rFonts w:ascii="Arial" w:cs="Arial" w:eastAsia="Arial" w:hAnsi="Arial"/>
        </w:rPr>
        <w:t xml:space="preserve">The Revenue Foundation and What It Enables</w:t>
      </w:r>
    </w:p>
    <w:p>
      <w:pPr>
        <w:spacing w:after="200" w:line="300"/>
      </w:pPr>
      <w:r>
        <w:rPr>
          <w:rFonts w:ascii="Arial" w:cs="Arial" w:eastAsia="Arial" w:hAnsi="Arial"/>
          <w:color w:val="1A1A2E"/>
          <w:sz w:val="22"/>
          <w:szCs w:val="22"/>
        </w:rPr>
        <w:t xml:space="preserve">The assumption underlying this document is that HomeSynapse is generating decent revenue, which means the four-layer model is working. Free core installations are converting to cloud subscriptions at a healthy rate. Hub hardware is selling through the documentation-driven organic acquisition channel. The energy dashboard is differentiating from day one, just as the original roadmap intended. This revenue base changes the strategic calculus in important ways.</w:t>
      </w:r>
    </w:p>
    <w:p>
      <w:pPr>
        <w:spacing w:after="200" w:line="300"/>
      </w:pPr>
      <w:r>
        <w:rPr>
          <w:rFonts w:ascii="Arial" w:cs="Arial" w:eastAsia="Arial" w:hAnsi="Arial"/>
          <w:color w:val="1A1A2E"/>
          <w:sz w:val="22"/>
          <w:szCs w:val="22"/>
        </w:rPr>
        <w:t xml:space="preserve">First, it proves product-market fit with the technically literate early adopter segment. These users chose HomeSynapse not because of marketing spend but because the architecture documentation, the energy-first onboarding experience, and the event log as a visible interface element convinced them that this platform was built differently. This audience will continue to grow through the same channels, but it has a natural ceiling. There are perhaps two hundred thousand to five hundred thousand households in the United States that will actively seek out a technically superior, local-first, open-source smart home platform. That ceiling is high enough to build a significant business, but it is not high enough to achieve the institutional scale that the energy, insurance, and healthcare markets require.</w:t>
      </w:r>
    </w:p>
    <w:p>
      <w:pPr>
        <w:spacing w:after="200" w:line="300"/>
      </w:pPr>
      <w:r>
        <w:rPr>
          <w:rFonts w:ascii="Arial" w:cs="Arial" w:eastAsia="Arial" w:hAnsi="Arial"/>
          <w:color w:val="1A1A2E"/>
          <w:sz w:val="22"/>
          <w:szCs w:val="22"/>
        </w:rPr>
        <w:t xml:space="preserve">Second, the revenue base provides the operational credibility and financial runway to pursue institutional partnerships without desperation. A utility evaluating NexSys Grid as a VPP aggregation partner needs to see a company with a functioning product, paying customers, and a sustainable business model. An insurer considering NexSys Assure as an attestation provider needs to see the same. Revenue is not just money. It is proof of organizational competence, and institutional buyers evaluate organizational competence before they evaluate technology.</w:t>
      </w:r>
    </w:p>
    <w:p>
      <w:pPr>
        <w:spacing w:after="200" w:line="300"/>
      </w:pPr>
      <w:r>
        <w:rPr>
          <w:rFonts w:ascii="Arial" w:cs="Arial" w:eastAsia="Arial" w:hAnsi="Arial"/>
          <w:color w:val="1A1A2E"/>
          <w:sz w:val="22"/>
          <w:szCs w:val="22"/>
        </w:rPr>
        <w:t xml:space="preserve">Third, the existing user base represents a deployable fleet for institutional programs. Each HomeSynapse installation is a potential demand response participant, a potential insurance attestation node, and a potential aging-in-place monitoring site. The consumer product creates the installed base. The institutional products monetize the installed base at higher margins. This is the fundamental economic logic of the dual expansion strategy.</w:t>
      </w:r>
    </w:p>
    <w:p>
      <w:pPr>
        <w:pBdr>
          <w:bottom w:val="single" w:color="3FA6C9" w:sz="6" w:space="1"/>
        </w:pBdr>
        <w:spacing w:before="240" w:after="240"/>
      </w:pPr>
    </w:p>
    <w:p>
      <w:pPr>
        <w:pStyle w:val="Heading1"/>
      </w:pPr>
      <w:r>
        <w:rPr>
          <w:rFonts w:ascii="Arial" w:cs="Arial" w:eastAsia="Arial" w:hAnsi="Arial"/>
        </w:rPr>
        <w:t xml:space="preserve">Part Two: Making HomeSynapse the Obvious Choice for Every Homeowner</w:t>
      </w:r>
    </w:p>
    <w:p>
      <w:pPr>
        <w:pStyle w:val="Heading2"/>
      </w:pPr>
      <w:r>
        <w:rPr>
          <w:rFonts w:ascii="Arial" w:cs="Arial" w:eastAsia="Arial" w:hAnsi="Arial"/>
        </w:rPr>
        <w:t xml:space="preserve">Understanding Who We Are Not Yet Reaching</w:t>
      </w:r>
    </w:p>
    <w:p>
      <w:pPr>
        <w:spacing w:after="200" w:line="300"/>
      </w:pPr>
      <w:r>
        <w:rPr>
          <w:rFonts w:ascii="Arial" w:cs="Arial" w:eastAsia="Arial" w:hAnsi="Arial"/>
          <w:color w:val="1A1A2E"/>
          <w:sz w:val="22"/>
          <w:szCs w:val="22"/>
        </w:rPr>
        <w:t xml:space="preserve">The current HomeSynapse user base is disproportionately composed of people who understand what event sourcing means, who have opinions about Zigbee versus Z-Wave mesh topology, and who can configure automations by writing structured rules. This is the beachhead audience described in the original roadmap, and they have been reached exactly as planned: through documentation, architectural transparency, and technical merit. The next audience is fundamentally different.</w:t>
      </w:r>
    </w:p>
    <w:p>
      <w:pPr>
        <w:spacing w:after="200" w:line="300"/>
      </w:pPr>
      <w:r>
        <w:rPr>
          <w:rFonts w:ascii="Arial" w:cs="Arial" w:eastAsia="Arial" w:hAnsi="Arial"/>
          <w:color w:val="1A1A2E"/>
          <w:sz w:val="22"/>
          <w:szCs w:val="22"/>
        </w:rPr>
        <w:t xml:space="preserve">The next audience is the homeowner who installed a Nest thermostat because their utility sent them a rebate, who has a Ring doorbell because it was on sale during Prime Day, who has three or four smart plugs controlling lamps, and who is vaguely frustrated that none of these things work together reliably. They do not know what an event bus is. They do not care about crash isolation as an architectural concept. They care about whether the porch light turns on when they pull into the driveway, whether the thermostat actually saves them money, and whether the whole system will keep working when their internet goes down during a storm. Eighty-seven percent of smart home device owners report connectivity as their primary frustration. Forty-six percent specifically cite Wi-Fi and internet reliability as the most common failure mode. One in three Americans report frustration with their smart home devices at least weekly.</w:t>
      </w:r>
    </w:p>
    <w:p>
      <w:pPr>
        <w:spacing w:after="200" w:line="300"/>
      </w:pPr>
      <w:r>
        <w:rPr>
          <w:rFonts w:ascii="Arial" w:cs="Arial" w:eastAsia="Arial" w:hAnsi="Arial"/>
          <w:color w:val="1A1A2E"/>
          <w:sz w:val="22"/>
          <w:szCs w:val="22"/>
        </w:rPr>
        <w:t xml:space="preserve">This audience is enormous. Smart home adoption has reached fifty-nine percent of US homeowners. Seventy-five percent of new-construction builders install smart home infrastructure as standard. The average US household now operates twenty-one to twenty-five connected devices. These are not technology enthusiasts. They are ordinary people who have been sold connected devices by retailers, utilities, builders, and insurance companies, and who are discovering that the experience of managing those devices is fragmented, unreliable, and often privacy-invasive. They represent a market that is underserved not by a lack of products but by a lack of products that actually work well.</w:t>
      </w:r>
    </w:p>
    <w:p>
      <w:pPr>
        <w:pStyle w:val="Heading2"/>
      </w:pPr>
      <w:r>
        <w:rPr>
          <w:rFonts w:ascii="Arial" w:cs="Arial" w:eastAsia="Arial" w:hAnsi="Arial"/>
        </w:rPr>
        <w:t xml:space="preserve">The Three Consumer Value Propositions That Drive Mainstream Adoption</w:t>
      </w:r>
    </w:p>
    <w:p>
      <w:pPr>
        <w:spacing w:after="200" w:line="300"/>
      </w:pPr>
      <w:r>
        <w:rPr>
          <w:rFonts w:ascii="Arial" w:cs="Arial" w:eastAsia="Arial" w:hAnsi="Arial"/>
          <w:color w:val="1A1A2E"/>
          <w:sz w:val="22"/>
          <w:szCs w:val="22"/>
        </w:rPr>
        <w:t xml:space="preserve">To reach this audience, HomeSynapse must lead with three value propositions that translate architectural advantages into language that resonates with people who do not think about architecture. Each proposition addresses a specific pain point, creates a specific emotional response, and maps directly to a revenue stream.</w:t>
      </w:r>
    </w:p>
    <w:p>
      <w:pPr>
        <w:pStyle w:val="Heading3"/>
      </w:pPr>
      <w:r>
        <w:rPr>
          <w:rFonts w:ascii="Arial" w:cs="Arial" w:eastAsia="Arial" w:hAnsi="Arial"/>
        </w:rPr>
        <w:t xml:space="preserve">Your Home Works When the Internet Does Not</w:t>
      </w:r>
    </w:p>
    <w:p>
      <w:pPr>
        <w:spacing w:after="200" w:line="300"/>
      </w:pPr>
      <w:r>
        <w:rPr>
          <w:rFonts w:ascii="Arial" w:cs="Arial" w:eastAsia="Arial" w:hAnsi="Arial"/>
          <w:color w:val="1A1A2E"/>
          <w:sz w:val="22"/>
          <w:szCs w:val="22"/>
        </w:rPr>
        <w:t xml:space="preserve">This is the single most powerful differentiator HomeSynapse possesses against every cloud-dependent competitor, and it becomes more powerful every year as device counts increase and cloud outages become more consequential. When a Google Home user loses internet, their lights stop responding to voice commands, their automations stop running, their cameras stop recording, and their thermostat reverts to a basic schedule. When an Alexa user loses internet, the same thing happens. When a Home Assistant user loses internet, most things work but cloud-dependent integrations degrade unpredictably, and the user may not know which integrations depend on the cloud until they fail.</w:t>
      </w:r>
    </w:p>
    <w:p>
      <w:pPr>
        <w:spacing w:after="200" w:line="300"/>
      </w:pPr>
      <w:r>
        <w:rPr>
          <w:rFonts w:ascii="Arial" w:cs="Arial" w:eastAsia="Arial" w:hAnsi="Arial"/>
          <w:color w:val="1A1A2E"/>
          <w:sz w:val="22"/>
          <w:szCs w:val="22"/>
        </w:rPr>
        <w:t xml:space="preserve">When a HomeSynapse user loses internet, nothing changes in their daily experience. Lights respond. Automations run. The event log records everything. Energy optimization continues. Locks lock. Cameras record locally. The system is designed so that internet connectivity enhances the experience through remote access, cloud backup, and VPP participation, but never controls it. This is not a feature. It is an architectural guarantee, and it should be communicated as such.</w:t>
      </w:r>
    </w:p>
    <w:p>
      <w:pPr>
        <w:spacing w:after="200" w:line="300"/>
      </w:pPr>
      <w:r>
        <w:rPr>
          <w:rFonts w:ascii="Arial" w:cs="Arial" w:eastAsia="Arial" w:hAnsi="Arial"/>
          <w:color w:val="1A1A2E"/>
          <w:sz w:val="22"/>
          <w:szCs w:val="22"/>
        </w:rPr>
        <w:t xml:space="preserve">The marketing language for this proposition is not technical. It is emotional. It is the image of a severe thunderstorm knocking out internet service, and everything in the home continuing to work exactly as expected. It is the reassurance that the system a family depends on for security, comfort, and energy management cannot be disrupted by an ISP outage, a cloud provider failure, or a corporate decision to discontinue a service. Eighty-three percent of consumers want upfront billing over monthly subscriptions precisely because they are tired of being dependent on companies that can change terms or shut down services at will. Local-first operation is the architectural expression of that consumer desire for independence.</w:t>
      </w:r>
    </w:p>
    <w:p>
      <w:pPr>
        <w:pStyle w:val="Heading3"/>
      </w:pPr>
      <w:r>
        <w:rPr>
          <w:rFonts w:ascii="Arial" w:cs="Arial" w:eastAsia="Arial" w:hAnsi="Arial"/>
        </w:rPr>
        <w:t xml:space="preserve">See What Your Home Is Actually Doing</w:t>
      </w:r>
    </w:p>
    <w:p>
      <w:pPr>
        <w:spacing w:after="200" w:line="300"/>
      </w:pPr>
      <w:r>
        <w:rPr>
          <w:rFonts w:ascii="Arial" w:cs="Arial" w:eastAsia="Arial" w:hAnsi="Arial"/>
          <w:color w:val="1A1A2E"/>
          <w:sz w:val="22"/>
          <w:szCs w:val="22"/>
        </w:rPr>
        <w:t xml:space="preserve">The energy-first onboarding experience that the original roadmap specified is exactly right for the mainstream consumer, and the research confirms why. The HEMS market is growing at seventeen-point-seven percent CAGR. Willingness to participate in time-of-use programs jumps from seven percent to forty-four percent when automation technology is available. A twelve-hundred-home LADWP pilot demonstrated forty-two percent average monthly bill reduction. The financial case for energy intelligence is so strong that the subscription essentially pays for itself: energy optimization at four to eight dollars per month against documented savings of fifty to two hundred dollars per month creates a two-to-eight-times return on investment.</w:t>
      </w:r>
    </w:p>
    <w:p>
      <w:pPr>
        <w:spacing w:after="200" w:line="300"/>
      </w:pPr>
      <w:r>
        <w:rPr>
          <w:rFonts w:ascii="Arial" w:cs="Arial" w:eastAsia="Arial" w:hAnsi="Arial"/>
          <w:color w:val="1A1A2E"/>
          <w:sz w:val="22"/>
          <w:szCs w:val="22"/>
        </w:rPr>
        <w:t xml:space="preserve">But the consumer proposition is not just about saving money. It is about making the invisible visible. Most homeowners have no idea how much energy their HVAC system uses, whether their hot water heater is cycling efficiently, how much their EV charger is adding to their monthly bill, or whether their solar panels are actually producing what the installer promised. HomeSynapse makes all of this legible. The energy dashboard is not a technical tool. It is a window into the household economy that most families have never had. When the system shows a homeowner that their pool pump is running during peak-rate hours and that shifting it to off-peak would save thirty-seven dollars per month, that is not an automation feature. That is financial literacy delivered through infrastructure.</w:t>
      </w:r>
    </w:p>
    <w:p>
      <w:pPr>
        <w:spacing w:after="200" w:line="300"/>
      </w:pPr>
      <w:r>
        <w:rPr>
          <w:rFonts w:ascii="Arial" w:cs="Arial" w:eastAsia="Arial" w:hAnsi="Arial"/>
          <w:color w:val="1A1A2E"/>
          <w:sz w:val="22"/>
          <w:szCs w:val="22"/>
        </w:rPr>
        <w:t xml:space="preserve">The energy proposition also creates the natural on-ramp to institutional revenue. The homeowner who installs HomeSynapse for energy visibility is the homeowner who, six months later, enrolls in a demand response program because the system tells them they are eligible and shows them exactly how much they would earn. That enrollment converts the consumer installation into a NexSys Grid participant, generating B2B revenue without any additional consumer acquisition cost. The residential energy platform is not just a consumer product. It is a pipeline to the institutional market.</w:t>
      </w:r>
    </w:p>
    <w:p>
      <w:pPr>
        <w:pStyle w:val="Heading3"/>
      </w:pPr>
      <w:r>
        <w:rPr>
          <w:rFonts w:ascii="Arial" w:cs="Arial" w:eastAsia="Arial" w:hAnsi="Arial"/>
        </w:rPr>
        <w:t xml:space="preserve">One System That Actually Works Together</w:t>
      </w:r>
    </w:p>
    <w:p>
      <w:pPr>
        <w:spacing w:after="200" w:line="300"/>
      </w:pPr>
      <w:r>
        <w:rPr>
          <w:rFonts w:ascii="Arial" w:cs="Arial" w:eastAsia="Arial" w:hAnsi="Arial"/>
          <w:color w:val="1A1A2E"/>
          <w:sz w:val="22"/>
          <w:szCs w:val="22"/>
        </w:rPr>
        <w:t xml:space="preserve">The third consumer proposition addresses the fragmentation that plagues every smart home today. The average household with smart devices uses three to four different apps to manage them. The Nest app for the thermostat. The Ring app for the doorbell. The Hue app for the lights. The smart plug manufacturer app for the outlets. None of these apps talk to each other. Automations that span devices from different manufacturers require workarounds, third-party bridges, or manual coordination. The consumer experience of the connected home is not connected at all. It is a collection of isolated apps that happen to share a Wi-Fi network.</w:t>
      </w:r>
    </w:p>
    <w:p>
      <w:pPr>
        <w:spacing w:after="200" w:line="300"/>
      </w:pPr>
      <w:r>
        <w:rPr>
          <w:rFonts w:ascii="Arial" w:cs="Arial" w:eastAsia="Arial" w:hAnsi="Arial"/>
          <w:color w:val="1A1A2E"/>
          <w:sz w:val="22"/>
          <w:szCs w:val="22"/>
        </w:rPr>
        <w:t xml:space="preserve">HomeSynapse resolves this through protocol-agnostic device abstraction. A light is a light regardless of whether it communicates via Zigbee, Z-Wave, Matter, or Wi-Fi. A sensor is a sensor regardless of manufacturer. An automation that says when the front door opens after sunset, turn on the hallway lights to fifty percent does not care about the protocols involved. The event model unifies all device interactions into a single, coherent system. For the consumer, this means one app, one dashboard, one automation engine, and one event log for their entire home. It means the end of app juggling, the end of wondering why the automation did not fire because the bridge was offline, and the end of feeling like they need a computer science degree to make their home work.</w:t>
      </w:r>
    </w:p>
    <w:p>
      <w:pPr>
        <w:spacing w:after="200" w:line="300"/>
      </w:pPr>
      <w:r>
        <w:rPr>
          <w:rFonts w:ascii="Arial" w:cs="Arial" w:eastAsia="Arial" w:hAnsi="Arial"/>
          <w:color w:val="1A1A2E"/>
          <w:sz w:val="22"/>
          <w:szCs w:val="22"/>
        </w:rPr>
        <w:t xml:space="preserve">This proposition is reinforced by the multi-protocol RF health diagnostics capability, which addresses the number-one consumer frustration directly. When a device stops responding, HomeSynapse can tell the user why. The Zigbee mesh has a weak link because the repeater in the kitchen went offline. The Wi-Fi channel is congested because the neighbor installed a new access point on the same channel. The Thread border router lost its credentials after a firmware update. No consumer product in the market today provides this level of network visibility, and building it into the core platform transforms HomeSynapse from a smart home controller into a smart home doctor that can diagnose and often automatically remediate the connectivity problems that drive consumers away from the entire category.</w:t>
      </w:r>
    </w:p>
    <w:p>
      <w:pPr>
        <w:pStyle w:val="Heading2"/>
      </w:pPr>
      <w:r>
        <w:rPr>
          <w:rFonts w:ascii="Arial" w:cs="Arial" w:eastAsia="Arial" w:hAnsi="Arial"/>
        </w:rPr>
        <w:t xml:space="preserve">The Consumer Product Experience Must Change</w:t>
      </w:r>
    </w:p>
    <w:p>
      <w:pPr>
        <w:spacing w:after="200" w:line="300"/>
      </w:pPr>
      <w:r>
        <w:rPr>
          <w:rFonts w:ascii="Arial" w:cs="Arial" w:eastAsia="Arial" w:hAnsi="Arial"/>
          <w:color w:val="1A1A2E"/>
          <w:sz w:val="22"/>
          <w:szCs w:val="22"/>
        </w:rPr>
        <w:t xml:space="preserve">Making these value propositions real requires specific product changes that go beyond what the current MVP provides. The technically literate beachhead audience tolerates and even prefers a product that exposes its internal architecture. The mainstream audience does not. This does not mean dumbing down the product. It means layering progressive disclosure so that the simple case is simple and the complex case is accessible to those who want it.</w:t>
      </w:r>
    </w:p>
    <w:p>
      <w:pPr>
        <w:pStyle w:val="Heading3"/>
      </w:pPr>
      <w:r>
        <w:rPr>
          <w:rFonts w:ascii="Arial" w:cs="Arial" w:eastAsia="Arial" w:hAnsi="Arial"/>
        </w:rPr>
        <w:t xml:space="preserve">Onboarding Must Be a Five-Minute Experience</w:t>
      </w:r>
    </w:p>
    <w:p>
      <w:pPr>
        <w:spacing w:after="200" w:line="300"/>
      </w:pPr>
      <w:r>
        <w:rPr>
          <w:rFonts w:ascii="Arial" w:cs="Arial" w:eastAsia="Arial" w:hAnsi="Arial"/>
          <w:color w:val="1A1A2E"/>
          <w:sz w:val="22"/>
          <w:szCs w:val="22"/>
        </w:rPr>
        <w:t xml:space="preserve">The current onboarding experience for HomeSynapse, even with the Hub as the golden path, requires understanding concepts like device pairing, Zigbee coordination, and event logging. For the mainstream consumer, onboarding must be a five-minute experience that goes: plug in the Hub, open the app, scan the QR code, and see your home energy usage appear on screen within sixty seconds. Device discovery and pairing should happen automatically for any supported device on the local network. The energy monitoring integration should be the first thing the user sees, not because it is the most technically impressive feature, but because it is the one that creates immediate financial value and establishes the mental model that HomeSynapse is about making the home legible.</w:t>
      </w:r>
    </w:p>
    <w:p>
      <w:pPr>
        <w:spacing w:after="200" w:line="300"/>
      </w:pPr>
      <w:r>
        <w:rPr>
          <w:rFonts w:ascii="Arial" w:cs="Arial" w:eastAsia="Arial" w:hAnsi="Arial"/>
          <w:color w:val="1A1A2E"/>
          <w:sz w:val="22"/>
          <w:szCs w:val="22"/>
        </w:rPr>
        <w:t xml:space="preserve">The progressive disclosure model means that the event log, the automation engine, the protocol diagnostics, and the advanced configuration options are all available but not presented during onboarding. The user who wants to build complex automations on day one can navigate to them. The user who just wants their home to work better does not need to know they exist until they are ready. Home Assistant fails this test completely because it front-loads complexity. Google Home fails this test differently by hiding everything behind an opaque cloud layer. HomeSynapse should succeed by being simple by default and powerful by choice.</w:t>
      </w:r>
    </w:p>
    <w:p>
      <w:pPr>
        <w:pStyle w:val="Heading3"/>
      </w:pPr>
      <w:r>
        <w:rPr>
          <w:rFonts w:ascii="Arial" w:cs="Arial" w:eastAsia="Arial" w:hAnsi="Arial"/>
        </w:rPr>
        <w:t xml:space="preserve">The Mobile Experience Must Be Excellent</w:t>
      </w:r>
    </w:p>
    <w:p>
      <w:pPr>
        <w:spacing w:after="200" w:line="300"/>
      </w:pPr>
      <w:r>
        <w:rPr>
          <w:rFonts w:ascii="Arial" w:cs="Arial" w:eastAsia="Arial" w:hAnsi="Arial"/>
          <w:color w:val="1A1A2E"/>
          <w:sz w:val="22"/>
          <w:szCs w:val="22"/>
        </w:rPr>
        <w:t xml:space="preserve">The current roadmap includes a progressive web app for mobile as a Tier 3 market credibility feature. For the mainstream consumer expansion, native mobile apps are not a Tier 3 feature. They are a Tier 1 requirement. The smartphone is how mainstream consumers interact with their homes. The dashboard must load instantly. Device control must respond within the sub-second local latency that the architecture guarantees. Notifications must work reliably through the cloud push relay. The energy dashboard must be beautiful enough that users want to show it to their friends. This is not about vanity. It is about word-of-mouth acquisition, which is the highest-quality and lowest-cost customer acquisition channel available.</w:t>
      </w:r>
    </w:p>
    <w:p>
      <w:pPr>
        <w:spacing w:after="200" w:line="300"/>
      </w:pPr>
      <w:r>
        <w:rPr>
          <w:rFonts w:ascii="Arial" w:cs="Arial" w:eastAsia="Arial" w:hAnsi="Arial"/>
          <w:color w:val="1A1A2E"/>
          <w:sz w:val="22"/>
          <w:szCs w:val="22"/>
        </w:rPr>
        <w:t xml:space="preserve">The mobile app is also the surface through which institutional value propositions are delivered to consumers. The demand response enrollment prompt appears in the app. The insurance attestation status shows in the app. The caregiver dashboard for aging-in-place monitoring runs in the app. If the mobile experience is not excellent, none of the institutional revenue streams will reach their potential, because the consumer touchpoint through which those services are accessed will be too friction-laden to drive engagement.</w:t>
      </w:r>
    </w:p>
    <w:p>
      <w:pPr>
        <w:pStyle w:val="Heading3"/>
      </w:pPr>
      <w:r>
        <w:rPr>
          <w:rFonts w:ascii="Arial" w:cs="Arial" w:eastAsia="Arial" w:hAnsi="Arial"/>
        </w:rPr>
        <w:t xml:space="preserve">The Professional Installer Channel Must Be Built Early</w:t>
      </w:r>
    </w:p>
    <w:p>
      <w:pPr>
        <w:spacing w:after="200" w:line="300"/>
      </w:pPr>
      <w:r>
        <w:rPr>
          <w:rFonts w:ascii="Arial" w:cs="Arial" w:eastAsia="Arial" w:hAnsi="Arial"/>
          <w:color w:val="1A1A2E"/>
          <w:sz w:val="22"/>
          <w:szCs w:val="22"/>
        </w:rPr>
        <w:t xml:space="preserve">Eighty percent of homeowners will never install a smart home system themselves. This is the single most important market reality for the consumer expansion. The original roadmap positions HomeSynapse Professional as a Phase 3 product, but the research suggests it needs to be pulled forward significantly. The professional installer channel is not just a revenue stream at ninety-nine dollars per home plus twelve dollars per month in management fees. It is the primary mechanism through which HomeSynapse reaches the mass market.</w:t>
      </w:r>
    </w:p>
    <w:p>
      <w:pPr>
        <w:spacing w:after="200" w:line="300"/>
      </w:pPr>
      <w:r>
        <w:rPr>
          <w:rFonts w:ascii="Arial" w:cs="Arial" w:eastAsia="Arial" w:hAnsi="Arial"/>
          <w:color w:val="1A1A2E"/>
          <w:sz w:val="22"/>
          <w:szCs w:val="22"/>
        </w:rPr>
        <w:t xml:space="preserve">The installer channel model works as follows. NexSys certifies installers through a training and examination program at two hundred and ninety-nine dollars per year. Certified installers receive a dedicated dashboard for managing client installations, template-based provisioning for rapid deployment, white-label capability for their own branding, and tiered support. The installer sells the HomeSynapse Hub plus installation as a service to the homeowner, typically in the three hundred to six hundred dollar range for hardware plus setup. The homeowner gets a professionally configured system with ongoing management. The installer gets recurring revenue from the management fee. NexSys gets a new installation, a cloud subscription conversion, and a potential participant for institutional programs.</w:t>
      </w:r>
    </w:p>
    <w:p>
      <w:pPr>
        <w:spacing w:after="200" w:line="300"/>
      </w:pPr>
      <w:r>
        <w:rPr>
          <w:rFonts w:ascii="Arial" w:cs="Arial" w:eastAsia="Arial" w:hAnsi="Arial"/>
          <w:color w:val="1A1A2E"/>
          <w:sz w:val="22"/>
          <w:szCs w:val="22"/>
        </w:rPr>
        <w:t xml:space="preserve">This channel is especially important for the energy and insurance institutional plays. A utility running a demand response program wants to enroll thousands of homes quickly. A professional installer network can deploy HomeSynapse Hubs preconfigured for the utility program at the scale and speed that consumer self-installation cannot match. An insurance company requiring smart water monitoring wants to partner with a company that can get devices installed in policyholders homes efficiently. The installer network provides that capability. The channel is not just about reaching consumers who will not do it themselves. It is about creating the deployment infrastructure that institutional partners require.</w:t>
      </w:r>
    </w:p>
    <w:p>
      <w:pPr>
        <w:pStyle w:val="Heading2"/>
      </w:pPr>
      <w:r>
        <w:rPr>
          <w:rFonts w:ascii="Arial" w:cs="Arial" w:eastAsia="Arial" w:hAnsi="Arial"/>
        </w:rPr>
        <w:t xml:space="preserve">The Pricing Architecture for Mainstream Consumers</w:t>
      </w:r>
    </w:p>
    <w:p>
      <w:pPr>
        <w:spacing w:after="200" w:line="300"/>
      </w:pPr>
      <w:r>
        <w:rPr>
          <w:rFonts w:ascii="Arial" w:cs="Arial" w:eastAsia="Arial" w:hAnsi="Arial"/>
          <w:color w:val="1A1A2E"/>
          <w:sz w:val="22"/>
          <w:szCs w:val="22"/>
        </w:rPr>
        <w:t xml:space="preserve">The current pricing model of a free core with cloud subscriptions at seven-ninety-nine and fourteen-ninety-nine per month is correctly structured but needs refinement for the mainstream market. The critical insight from consumer research is that eighty-three percent of consumers prefer upfront billing over monthly subscriptions. This does not mean subscriptions are wrong. It means the value proposition of the subscription must be self-evidently worth the cost, and the free tier must be genuinely functional so that the subscription feels like an upgrade rather than a ransom.</w:t>
      </w:r>
    </w:p>
    <w:p>
      <w:pPr>
        <w:spacing w:after="200" w:line="300"/>
      </w:pPr>
      <w:r>
        <w:rPr>
          <w:rFonts w:ascii="Arial" w:cs="Arial" w:eastAsia="Arial" w:hAnsi="Arial"/>
          <w:color w:val="1A1A2E"/>
          <w:sz w:val="22"/>
          <w:szCs w:val="22"/>
        </w:rPr>
        <w:t xml:space="preserve">The energy optimization subscription is the easiest to justify because the documented savings create a clear return on investment. The consumer does not need to be persuaded that the subscription is worth it. The dashboard shows them exactly how much money the system has saved them, and the subscription cost is a fraction of the savings. This is self-funding revenue in the truest sense.</w:t>
      </w:r>
    </w:p>
    <w:p>
      <w:pPr>
        <w:spacing w:after="200" w:line="300"/>
      </w:pPr>
      <w:r>
        <w:rPr>
          <w:rFonts w:ascii="Arial" w:cs="Arial" w:eastAsia="Arial" w:hAnsi="Arial"/>
          <w:color w:val="1A1A2E"/>
          <w:sz w:val="22"/>
          <w:szCs w:val="22"/>
        </w:rPr>
        <w:t xml:space="preserve">For the broader consumer market, the Hub hardware at one hundred and forty-nine dollars is the right price point. It positions HomeSynapse below Apple Home accessories, well below Control4 and professional systems, and at a similar level to the Nest Hub Max or Echo Show. The hardware is the entry point. The free core with local functionality is the retention mechanism. The cloud subscription is the convenience upgrade. The institutional services, which are delivered through the same infrastructure, are the high-margin revenue streams that fund continued development. The consumer pays for convenience. The institution pays for trust and compliance. Both payments flow to NexSys, and both are justified by genuine value creation.</w:t>
      </w:r>
    </w:p>
    <w:p>
      <w:pPr>
        <w:pBdr>
          <w:bottom w:val="single" w:color="3FA6C9" w:sz="6" w:space="1"/>
        </w:pBdr>
        <w:spacing w:before="240" w:after="240"/>
      </w:pPr>
    </w:p>
    <w:p>
      <w:pPr>
        <w:pStyle w:val="Heading1"/>
      </w:pPr>
      <w:r>
        <w:rPr>
          <w:rFonts w:ascii="Arial" w:cs="Arial" w:eastAsia="Arial" w:hAnsi="Arial"/>
        </w:rPr>
        <w:t xml:space="preserve">Part Three: Becoming the Institutional Choice</w:t>
      </w:r>
    </w:p>
    <w:p>
      <w:pPr>
        <w:pStyle w:val="Heading2"/>
      </w:pPr>
      <w:r>
        <w:rPr>
          <w:rFonts w:ascii="Arial" w:cs="Arial" w:eastAsia="Arial" w:hAnsi="Arial"/>
        </w:rPr>
        <w:t xml:space="preserve">The Structural Shift That Creates the Opportunity</w:t>
      </w:r>
    </w:p>
    <w:p>
      <w:pPr>
        <w:spacing w:after="200" w:line="300"/>
      </w:pPr>
      <w:r>
        <w:rPr>
          <w:rFonts w:ascii="Arial" w:cs="Arial" w:eastAsia="Arial" w:hAnsi="Arial"/>
          <w:color w:val="1A1A2E"/>
          <w:sz w:val="22"/>
          <w:szCs w:val="22"/>
        </w:rPr>
        <w:t xml:space="preserve">The research conducted for this report confirms the core NexSys thesis with data that is more compelling than even the original strategic documents anticipated. The home is not merely becoming smarter. It is becoming a node in multiple institutional networks simultaneously, and the speed at which those networks are forming is accelerating. The question is no longer whether the home will interact with energy grids, insurance systems, healthcare providers, and municipal resilience programs. The question is who mediates those interactions.</w:t>
      </w:r>
    </w:p>
    <w:p>
      <w:pPr>
        <w:spacing w:after="200" w:line="300"/>
      </w:pPr>
      <w:r>
        <w:rPr>
          <w:rFonts w:ascii="Arial" w:cs="Arial" w:eastAsia="Arial" w:hAnsi="Arial"/>
          <w:color w:val="1A1A2E"/>
          <w:sz w:val="22"/>
          <w:szCs w:val="22"/>
        </w:rPr>
        <w:t xml:space="preserve">Today, the answer is mostly nobody. Ninety-three percent of eligible US households do not participate in demand response programs despite clear financial incentives. Only thirteen-point-six percent of homeowners have installed water leak detection despite the fact that water damage generates thirteen to fifteen billion dollars annually in insurance claims. Remote patient monitoring has grown tenfold from 2019 to 2022, but the average aging-in-place household cobbles together multiple disconnected devices with no unified monitoring layer. The enrollment gaps in these markets are not caused by a lack of demand. They are caused by a lack of infrastructure. There is no residential platform that bridges the homeowner and the institution in a way that serves both parties interests.</w:t>
      </w:r>
    </w:p>
    <w:p>
      <w:pPr>
        <w:spacing w:after="200" w:line="300"/>
      </w:pPr>
      <w:r>
        <w:rPr>
          <w:rFonts w:ascii="Arial" w:cs="Arial" w:eastAsia="Arial" w:hAnsi="Arial"/>
          <w:color w:val="1A1A2E"/>
          <w:sz w:val="22"/>
          <w:szCs w:val="22"/>
        </w:rPr>
        <w:t xml:space="preserve">This is the gap that NexSys fills. HomeSynapse is the infrastructure layer that makes the home legible to institutions without making the homeowner transparent to them. The event-sourced architecture provides the auditable record that institutions need. The local-first design ensures that the homeowner retains control of their data. The cryptographic attestation engine that NexSys Assure implements proves compliance without sharing raw information. This combination of auditability and privacy is something that no competitor can easily replicate, because it requires the architectural decisions that NexSys made at the foundation level to be correct. Google cannot offer privacy-preserving attestation because its business model depends on data access. Amazon cannot offer it because Alexa is cloud-dependent. Home Assistant cannot offer it because it has no institutional ambition and no event-sourced audit trail. The architectural choices that define HomeSynapse are not just technical decisions. They are competitive moats that compound as institutional demand grows.</w:t>
      </w:r>
    </w:p>
    <w:p>
      <w:pPr>
        <w:pStyle w:val="Heading2"/>
      </w:pPr>
      <w:r>
        <w:rPr>
          <w:rFonts w:ascii="Arial" w:cs="Arial" w:eastAsia="Arial" w:hAnsi="Arial"/>
        </w:rPr>
        <w:t xml:space="preserve">Energy: The Beachhead Institutional Market</w:t>
      </w:r>
    </w:p>
    <w:p>
      <w:pPr>
        <w:spacing w:after="200" w:line="300"/>
      </w:pPr>
      <w:r>
        <w:rPr>
          <w:rFonts w:ascii="Arial" w:cs="Arial" w:eastAsia="Arial" w:hAnsi="Arial"/>
          <w:color w:val="1A1A2E"/>
          <w:sz w:val="22"/>
          <w:szCs w:val="22"/>
        </w:rPr>
        <w:t xml:space="preserve">The energy market is the right first institutional play for four reinforcing reasons: the revenue is the largest and most immediate, the regulatory framework is the most mature, the technology requirements align most closely with what HomeSynapse already provides, and the consumer proposition of saving money creates natural institutional enrollment without additional acquisition cost.</w:t>
      </w:r>
    </w:p>
    <w:p>
      <w:pPr>
        <w:pStyle w:val="Heading3"/>
      </w:pPr>
      <w:r>
        <w:rPr>
          <w:rFonts w:ascii="Arial" w:cs="Arial" w:eastAsia="Arial" w:hAnsi="Arial"/>
        </w:rPr>
        <w:t xml:space="preserve">NexSys Grid as VPP Aggregation Middleware</w:t>
      </w:r>
    </w:p>
    <w:p>
      <w:pPr>
        <w:spacing w:after="200" w:line="300"/>
      </w:pPr>
      <w:r>
        <w:rPr>
          <w:rFonts w:ascii="Arial" w:cs="Arial" w:eastAsia="Arial" w:hAnsi="Arial"/>
          <w:color w:val="1A1A2E"/>
          <w:sz w:val="22"/>
          <w:szCs w:val="22"/>
        </w:rPr>
        <w:t xml:space="preserve">The virtual power plant opportunity is at an inflection point. North American VPP capacity reached thirty-seven-point-five gigawatts in 2025, growing fourteen percent year-over-year. The DOE targets eighty to one hundred and sixty gigawatts by 2030, representing ten to twenty percent of US peak load and saving approximately ten billion dollars per year in grid costs. California's July 2025 test dispatched five hundred and thirty-nine megawatts from over one hundred thousand residential batteries for two hours, proving the concept at the scale of a mid-size gas plant. Tesla has paid Powerwall owners nearly ten million dollars through VPP programs. Sunrun enrolled one hundred and six thousand customers across seventeen active programs in 2024 alone.</w:t>
      </w:r>
    </w:p>
    <w:p>
      <w:pPr>
        <w:spacing w:after="200" w:line="300"/>
      </w:pPr>
      <w:r>
        <w:rPr>
          <w:rFonts w:ascii="Arial" w:cs="Arial" w:eastAsia="Arial" w:hAnsi="Arial"/>
          <w:color w:val="1A1A2E"/>
          <w:sz w:val="22"/>
          <w:szCs w:val="22"/>
        </w:rPr>
        <w:t xml:space="preserve">Yet only ten-point-two percent of VPP wholesale market capacity currently comes from residential distributed energy resources. The enrollment gap is enormous, and it exists because current VPP aggregators are structurally limited. Tesla can only aggregate Tesla Powerwalls. Sunrun can only aggregate Sunrun-installed systems. Google Nest Rush Hour Rewards can only reduce thermostat load. No aggregator can simultaneously coordinate a Tesla Powerwall, a Nest thermostat, a ChargePoint EV charger, and a smart pool pump in the same home to maximize the dispatchable capacity of that household. HomeSynapse can, because the architecture treats all of these as first-class energy entities with unified control through the same automation engine.</w:t>
      </w:r>
    </w:p>
    <w:p>
      <w:pPr>
        <w:spacing w:after="200" w:line="300"/>
      </w:pPr>
      <w:r>
        <w:rPr>
          <w:rFonts w:ascii="Arial" w:cs="Arial" w:eastAsia="Arial" w:hAnsi="Arial"/>
          <w:color w:val="1A1A2E"/>
          <w:sz w:val="22"/>
          <w:szCs w:val="22"/>
        </w:rPr>
        <w:t xml:space="preserve">NexSys Grid should be positioned not as a VPP platform competing with Tesla or Sunrun, but as VPP aggregation middleware that sits between heterogeneous household distributed energy resources and the grid operators, utilities, and wholesale markets that want to dispatch them. The value proposition to a utility is not we have batteries. It is we have a platform that can orchestrate whatever equipment your customers already own, enroll them in your programs with minimal friction, and verify their participation through an auditable event log. The value proposition to the homeowner is we will help you earn money from the equipment you already paid for, and we will show you exactly how much you earned and why.</w:t>
      </w:r>
    </w:p>
    <w:p>
      <w:pPr>
        <w:spacing w:after="200" w:line="300"/>
      </w:pPr>
      <w:r>
        <w:rPr>
          <w:rFonts w:ascii="Arial" w:cs="Arial" w:eastAsia="Arial" w:hAnsi="Arial"/>
          <w:color w:val="1A1A2E"/>
          <w:sz w:val="22"/>
          <w:szCs w:val="22"/>
        </w:rPr>
        <w:t xml:space="preserve">The revenue model of a fifteen-to-twenty percent platform fee on VPP payments flowing to users is correct because it aligns NexSys incentives with homeowner outcomes. NexSys earns more when the homeowner earns more. At fifty thousand enrolled homes earning three hundred to five hundred dollars per year, the platform fee generates two-point-two-five to five million dollars in annual B2B revenue. At two hundred thousand homes, which is the maturity scenario in the growth roadmap, this reaches six to ten million dollars. This revenue is recurring, high-margin, and grows automatically as more homes enroll and as grid service prices increase during the energy transition.</w:t>
      </w:r>
    </w:p>
    <w:p>
      <w:pPr>
        <w:pStyle w:val="Heading3"/>
      </w:pPr>
      <w:r>
        <w:rPr>
          <w:rFonts w:ascii="Arial" w:cs="Arial" w:eastAsia="Arial" w:hAnsi="Arial"/>
        </w:rPr>
        <w:t xml:space="preserve">The Utility Partnership Flywheel</w:t>
      </w:r>
    </w:p>
    <w:p>
      <w:pPr>
        <w:spacing w:after="200" w:line="300"/>
      </w:pPr>
      <w:r>
        <w:rPr>
          <w:rFonts w:ascii="Arial" w:cs="Arial" w:eastAsia="Arial" w:hAnsi="Arial"/>
          <w:color w:val="1A1A2E"/>
          <w:sz w:val="22"/>
          <w:szCs w:val="22"/>
        </w:rPr>
        <w:t xml:space="preserve">The most important structural advantage of the energy institutional play is the utility partnership flywheel. The mechanism works as follows. NexSys partners with a regional utility that wants to expand its demand response enrollment. The utility subsidizes HomeSynapse Hub hardware for participating customers, reducing the consumer acquisition cost to near zero. The customer receives discounted or free hardware plus ongoing VPP compensation. The utility receives a new demand response participant with verified, auditable dispatch capability. NexSys receives a new user who is now running HomeSynapse as their primary home platform, generating cloud subscription revenue, providing capacity for NexSys Grid, and creating a potential participant for NexSys Assure and NexSys Care in the future.</w:t>
      </w:r>
    </w:p>
    <w:p>
      <w:pPr>
        <w:spacing w:after="200" w:line="300"/>
      </w:pPr>
      <w:r>
        <w:rPr>
          <w:rFonts w:ascii="Arial" w:cs="Arial" w:eastAsia="Arial" w:hAnsi="Arial"/>
          <w:color w:val="1A1A2E"/>
          <w:sz w:val="22"/>
          <w:szCs w:val="22"/>
        </w:rPr>
        <w:t xml:space="preserve">This flywheel is self-reinforcing because each new enrolled home increases the aggregate dispatchable capacity that NexSys Grid can offer to utilities, which makes the platform more attractive to additional utility partners, which funds more hardware subsidies, which enrolls more homes. Google Nest already operates this model with over one hundred utility partnerships and forty million dollars in participant incentives distributed in 2024. The difference is that Nest can only control thermostats, while HomeSynapse can orchestrate the full range of flexible household loads. The difference in per-home dispatchable capacity is significant: a thermostat setback might contribute one to two kilowatts, while a home with a battery, EV charger, thermostat, water heater, and pool pump might contribute fifteen to twenty-five kilowatts. NexSys Grid offers utilities dramatically more value per enrolled home, which justifies higher subsidy levels, which accelerates the flywheel.</w:t>
      </w:r>
    </w:p>
    <w:p>
      <w:pPr>
        <w:pStyle w:val="Heading3"/>
      </w:pPr>
      <w:r>
        <w:rPr>
          <w:rFonts w:ascii="Arial" w:cs="Arial" w:eastAsia="Arial" w:hAnsi="Arial"/>
        </w:rPr>
        <w:t xml:space="preserve">OpenADR 3.0 and FERC 2222 as Technical Moats</w:t>
      </w:r>
    </w:p>
    <w:p>
      <w:pPr>
        <w:spacing w:after="200" w:line="300"/>
      </w:pPr>
      <w:r>
        <w:rPr>
          <w:rFonts w:ascii="Arial" w:cs="Arial" w:eastAsia="Arial" w:hAnsi="Arial"/>
          <w:color w:val="1A1A2E"/>
          <w:sz w:val="22"/>
          <w:szCs w:val="22"/>
        </w:rPr>
        <w:t xml:space="preserve">The implementation of OpenADR 3.0 as a Virtual End Node capability within HomeSynapse is not just a technical feature. It is a market positioning decision that creates a moat against both consumer competitors and other aggregation platforms. OpenADR 3.0 launched with first certified products in 2024 and reached version 3.1.0 in September 2025. It uses RESTful APIs and JSON, supports webhook-based data push, and includes formalized program management constructs. Critically, a Raspberry Pi can implement the VEN role, meaning HomeSynapse Hub hardware is more than capable.</w:t>
      </w:r>
    </w:p>
    <w:p>
      <w:pPr>
        <w:spacing w:after="200" w:line="300"/>
      </w:pPr>
      <w:r>
        <w:rPr>
          <w:rFonts w:ascii="Arial" w:cs="Arial" w:eastAsia="Arial" w:hAnsi="Arial"/>
          <w:color w:val="1A1A2E"/>
          <w:sz w:val="22"/>
          <w:szCs w:val="22"/>
        </w:rPr>
        <w:t xml:space="preserve">No open-source, local-first platform currently implements OpenADR 3.0 for residential users. Home Assistant does not have it. No consumer smart home platform has it. By implementing OpenADR 3.0 early, HomeSynapse becomes the default residential platform for utility demand response programs that use the standard, which is increasingly being required by state regulators. California Title 24, effective January 2026, mandates demand-response-capable thermostats using OpenADR 2.0 in new construction. As the standard migrates from commercial buildings to residential applications, the platform that already speaks the language has a structural advantage.</w:t>
      </w:r>
    </w:p>
    <w:p>
      <w:pPr>
        <w:spacing w:after="200" w:line="300"/>
      </w:pPr>
      <w:r>
        <w:rPr>
          <w:rFonts w:ascii="Arial" w:cs="Arial" w:eastAsia="Arial" w:hAnsi="Arial"/>
          <w:color w:val="1A1A2E"/>
          <w:sz w:val="22"/>
          <w:szCs w:val="22"/>
        </w:rPr>
        <w:t xml:space="preserve">FERC Order 2222, which enables distributed energy resource aggregations to participate in wholesale markets, is being implemented on varying timelines across the seven US RTOs and ISOs. CAISO is already operational. ISO-NE targets November 2026. NYISO targets end of 2026. PJM targets February 2028. As each market opens, aggregation platforms that can demonstrate verified, auditable dispatch records from heterogeneous residential DER fleets will have a first-mover advantage. The HomeSynapse event log, which records every grid signal received and every load management action taken with immutable timestamps, provides exactly the settlement verification that wholesale markets require.</w:t>
      </w:r>
    </w:p>
    <w:p>
      <w:pPr>
        <w:pStyle w:val="Heading2"/>
      </w:pPr>
      <w:r>
        <w:rPr>
          <w:rFonts w:ascii="Arial" w:cs="Arial" w:eastAsia="Arial" w:hAnsi="Arial"/>
        </w:rPr>
        <w:t xml:space="preserve">Insurance: The Revenue Stream That Funds Itself</w:t>
      </w:r>
    </w:p>
    <w:p>
      <w:pPr>
        <w:spacing w:after="200" w:line="300"/>
      </w:pPr>
      <w:r>
        <w:rPr>
          <w:rFonts w:ascii="Arial" w:cs="Arial" w:eastAsia="Arial" w:hAnsi="Arial"/>
          <w:color w:val="1A1A2E"/>
          <w:sz w:val="22"/>
          <w:szCs w:val="22"/>
        </w:rPr>
        <w:t xml:space="preserve">If energy is the highest-revenue institutional play, insurance is the highest-leverage one. The reason is that insurance partnerships create funded switching costs: once a homeowner is receiving a premium discount for verified monitoring through NexSys Assure, leaving HomeSynapse means losing that discount, which represents a two-hundred-to-four-hundred-dollar annual penalty. No other institutional relationship creates this kind of retention mechanism, and no other mechanism is funded by a third party rather than by the consumer or by NexSys.</w:t>
      </w:r>
    </w:p>
    <w:p>
      <w:pPr>
        <w:pStyle w:val="Heading3"/>
      </w:pPr>
      <w:r>
        <w:rPr>
          <w:rFonts w:ascii="Arial" w:cs="Arial" w:eastAsia="Arial" w:hAnsi="Arial"/>
        </w:rPr>
        <w:t xml:space="preserve">The Trajectory from Incentives to Mandates</w:t>
      </w:r>
    </w:p>
    <w:p>
      <w:pPr>
        <w:spacing w:after="200" w:line="300"/>
      </w:pPr>
      <w:r>
        <w:rPr>
          <w:rFonts w:ascii="Arial" w:cs="Arial" w:eastAsia="Arial" w:hAnsi="Arial"/>
          <w:color w:val="1A1A2E"/>
          <w:sz w:val="22"/>
          <w:szCs w:val="22"/>
        </w:rPr>
        <w:t xml:space="preserve">The insurance industry is moving through a predictable progression in its relationship with smart home technology. The first stage was optional premium discounts, which most major insurers now offer at five to twenty percent for various smart home devices. The second stage is insurer-funded device deployment, exemplified by Hippo Insurance distributing over two hundred thousand self-monitored sensor kits with seventy percent activation rates, and State Farm partnering with ADT to provide free security systems in ten states. The third stage is emerging now: mandatory device requirements. Farmers Insurance requiring Moen Flo Smart Water Monitor and Shutoff valves for some Bay Area homeowners before policy sale or renewal is the leading indicator of an industry-wide shift.</w:t>
      </w:r>
    </w:p>
    <w:p>
      <w:pPr>
        <w:spacing w:after="200" w:line="300"/>
      </w:pPr>
      <w:r>
        <w:rPr>
          <w:rFonts w:ascii="Arial" w:cs="Arial" w:eastAsia="Arial" w:hAnsi="Arial"/>
          <w:color w:val="1A1A2E"/>
          <w:sz w:val="22"/>
          <w:szCs w:val="22"/>
        </w:rPr>
        <w:t xml:space="preserve">The economic logic driving this progression is overwhelming. Water damage generates thirteen to fifteen billion dollars annually in US insurance claims, representing twenty-four to twenty-nine percent of all homeowner claims. The average water damage claim costs twelve thousand five hundred to fifteen thousand four hundred dollars. Smart shutoff valves prevent up to ninety-seven percent of burst pipe losses. A Phyn study across thirteen thousand five hundred homes found that devices reduced non-weather water leak claims by ninety-nine percent. From the insurer perspective, the cost of subsidizing a two-hundred-to-nine-hundred-dollar device is trivially small compared to the expected claim reduction. This is not a technology investment. It is an actuarial no-brainer.</w:t>
      </w:r>
    </w:p>
    <w:p>
      <w:pPr>
        <w:spacing w:after="200" w:line="300"/>
      </w:pPr>
      <w:r>
        <w:rPr>
          <w:rFonts w:ascii="Arial" w:cs="Arial" w:eastAsia="Arial" w:hAnsi="Arial"/>
          <w:color w:val="1A1A2E"/>
          <w:sz w:val="22"/>
          <w:szCs w:val="22"/>
        </w:rPr>
        <w:t xml:space="preserve">The progression from voluntary to mandatory will accelerate for several interconnected reasons. Homeowners insurance premiums rose twenty-four percent over three years and the projected 2025 national average reached thirty-five hundred and twenty dollars per year. Sixteen insurers withdrew from Florida since 2017. State Farm cancelled seventy-two thousand California policies in 2024. Excess and surplus market products now account for approximately sixteen to seventeen percent of policies in California, Florida, and Texas. Insurers are under existential pressure to reduce loss ratios, and smart home monitoring is one of the few tools that demonstrably achieves that goal. As early adopters like Farmers prove the model, the rest of the industry will follow.</w:t>
      </w:r>
    </w:p>
    <w:p>
      <w:pPr>
        <w:pStyle w:val="Heading3"/>
      </w:pPr>
      <w:r>
        <w:rPr>
          <w:rFonts w:ascii="Arial" w:cs="Arial" w:eastAsia="Arial" w:hAnsi="Arial"/>
        </w:rPr>
        <w:t xml:space="preserve">NexSys Assure as the Privacy-Preserving Attestation Layer</w:t>
      </w:r>
    </w:p>
    <w:p>
      <w:pPr>
        <w:spacing w:after="200" w:line="300"/>
      </w:pPr>
      <w:r>
        <w:rPr>
          <w:rFonts w:ascii="Arial" w:cs="Arial" w:eastAsia="Arial" w:hAnsi="Arial"/>
          <w:color w:val="1A1A2E"/>
          <w:sz w:val="22"/>
          <w:szCs w:val="22"/>
        </w:rPr>
        <w:t xml:space="preserve">The critical finding from the research that should shape the Assure product design is that most current insurer programs require only proof of installation and activation, not continuous data streams. Farmers asks for proof of installation, not day-to-day usage tracking. Liberty Mutual verifies monthly that Nest devices are installed and functioning but does not analyze what they detect. This creates a clean architectural opportunity for privacy-preserving cryptographic attestation, and NexSys is uniquely positioned to exploit it.</w:t>
      </w:r>
    </w:p>
    <w:p>
      <w:pPr>
        <w:spacing w:after="200" w:line="300"/>
      </w:pPr>
      <w:r>
        <w:rPr>
          <w:rFonts w:ascii="Arial" w:cs="Arial" w:eastAsia="Arial" w:hAnsi="Arial"/>
          <w:color w:val="1A1A2E"/>
          <w:sz w:val="22"/>
          <w:szCs w:val="22"/>
        </w:rPr>
        <w:t xml:space="preserve">NexSys Assure generates cryptographically signed daily home health attestations: all six water sensors are operational, no leak events have been detected, the shutoff valve test passed, the smoke detectors reported nominal status. The insurer receives only the attestation, a digitally signed statement of compliance status. No raw data. No behavioral patterns. No occupancy information. No sensor readings. The homeowner's privacy is structurally guaranteed because the raw data never leaves the home. The insurer gets what they actually need, which is verifiable proof that the monitoring system is working.</w:t>
      </w:r>
    </w:p>
    <w:p>
      <w:pPr>
        <w:spacing w:after="200" w:line="300"/>
      </w:pPr>
      <w:r>
        <w:rPr>
          <w:rFonts w:ascii="Arial" w:cs="Arial" w:eastAsia="Arial" w:hAnsi="Arial"/>
          <w:color w:val="1A1A2E"/>
          <w:sz w:val="22"/>
          <w:szCs w:val="22"/>
        </w:rPr>
        <w:t xml:space="preserve">This is technologically feasible today. Zero-knowledge proofs have been implemented on Raspberry Pi-class hardware. The event-sourced architecture provides the underlying audit trail from which attestations are derived. The immutable event log means that attestations can be verified retroactively if a dispute arises. And seventy-two percent of smart home product owners express concern about data privacy, which means the privacy-preserving nature of the attestation model is itself a competitive advantage in consumer adoption. The homeowner who is reluctant to share data with their insurer through a cloud-connected sensor system may be willing to share a signed attestation that proves their sensors are working without revealing what they detected.</w:t>
      </w:r>
    </w:p>
    <w:p>
      <w:pPr>
        <w:spacing w:after="200" w:line="300"/>
      </w:pPr>
      <w:r>
        <w:rPr>
          <w:rFonts w:ascii="Arial" w:cs="Arial" w:eastAsia="Arial" w:hAnsi="Arial"/>
          <w:color w:val="1A1A2E"/>
          <w:sz w:val="22"/>
          <w:szCs w:val="22"/>
        </w:rPr>
        <w:t xml:space="preserve">The revenue model for Assure is two to five dollars per month per home charged to the insurer. At forty thousand homes, this generates one-point-four-four million dollars per year. But the strategic value far exceeds the direct revenue. The insurer-funded switching cost of losing a premium discount creates retention that is worth multiples of the attestation fee. And the institutional relationship with the insurer creates a distribution channel: the insurer recommends HomeSynapse to policyholders, subsidizes the hardware, and the homeowner adopts the full platform, not just the monitoring component.</w:t>
      </w:r>
    </w:p>
    <w:p>
      <w:pPr>
        <w:pStyle w:val="Heading2"/>
      </w:pPr>
      <w:r>
        <w:rPr>
          <w:rFonts w:ascii="Arial" w:cs="Arial" w:eastAsia="Arial" w:hAnsi="Arial"/>
        </w:rPr>
        <w:t xml:space="preserve">Healthcare and Aging in Place: The Long Horizon, the Deepest Market</w:t>
      </w:r>
    </w:p>
    <w:p>
      <w:pPr>
        <w:spacing w:after="200" w:line="300"/>
      </w:pPr>
      <w:r>
        <w:rPr>
          <w:rFonts w:ascii="Arial" w:cs="Arial" w:eastAsia="Arial" w:hAnsi="Arial"/>
          <w:color w:val="1A1A2E"/>
          <w:sz w:val="22"/>
          <w:szCs w:val="22"/>
        </w:rPr>
        <w:t xml:space="preserve">The aging-in-place opportunity is the largest long-term market available to NexSys, but it operates on a different timeline and with different requirements than energy or insurance. The demographic wave is irreversible: seventy-four million Americans will be sixty-five or older by 2030, the eighty-five-plus population will nearly triple to fourteen-point-four million by 2040, and the caregiver workforce faces a projected shortfall of three hundred and fifty-five thousand workers by 2040. Technology-augmented care is not optional. It is a labor market necessity.</w:t>
      </w:r>
    </w:p>
    <w:p>
      <w:pPr>
        <w:spacing w:after="200" w:line="300"/>
      </w:pPr>
      <w:r>
        <w:rPr>
          <w:rFonts w:ascii="Arial" w:cs="Arial" w:eastAsia="Arial" w:hAnsi="Arial"/>
          <w:color w:val="1A1A2E"/>
          <w:sz w:val="22"/>
          <w:szCs w:val="22"/>
        </w:rPr>
        <w:t xml:space="preserve">Medicare Remote Patient Monitoring reimbursement validates the economic model with current CPT codes providing up to one hundred and sixty-eight to one hundred and ninety dollars per month per patient. CMS is actively expanding coverage with new 2026 codes that lower time thresholds, allowing billing for data collected just two to fifteen days per month. The hospital-at-home waiver program, with nearly four hundred hospitals in thirty-nine states, is seeking a five-year permanent extension. These are not speculative future revenue streams. They are existing federal reimbursement pathways that are expanding.</w:t>
      </w:r>
    </w:p>
    <w:p>
      <w:pPr>
        <w:pStyle w:val="Heading3"/>
      </w:pPr>
      <w:r>
        <w:rPr>
          <w:rFonts w:ascii="Arial" w:cs="Arial" w:eastAsia="Arial" w:hAnsi="Arial"/>
        </w:rPr>
        <w:t xml:space="preserve">NexSys Care as Ambient Monitoring Infrastructure</w:t>
      </w:r>
    </w:p>
    <w:p>
      <w:pPr>
        <w:spacing w:after="200" w:line="300"/>
      </w:pPr>
      <w:r>
        <w:rPr>
          <w:rFonts w:ascii="Arial" w:cs="Arial" w:eastAsia="Arial" w:hAnsi="Arial"/>
          <w:color w:val="1A1A2E"/>
          <w:sz w:val="22"/>
          <w:szCs w:val="22"/>
        </w:rPr>
        <w:t xml:space="preserve">NexSys Care should be positioned not as a medical device or a healthcare product, but as ambient monitoring infrastructure that connects to clinical workflows through standardized interfaces. The product uses motion sensors, door and window contact sensors, radar presence detection, smart plugs tracking appliance usage patterns, and environmental monitors to build a behavioral baseline of normal activity in the home. There are no cameras. No wearables are required. The system works without any action by the person being monitored, which solves the fundamental compliance problem that plagues medical alert pendants and other active monitoring devices.</w:t>
      </w:r>
    </w:p>
    <w:p>
      <w:pPr>
        <w:spacing w:after="200" w:line="300"/>
      </w:pPr>
      <w:r>
        <w:rPr>
          <w:rFonts w:ascii="Arial" w:cs="Arial" w:eastAsia="Arial" w:hAnsi="Arial"/>
          <w:color w:val="1A1A2E"/>
          <w:sz w:val="22"/>
          <w:szCs w:val="22"/>
        </w:rPr>
        <w:t xml:space="preserve">The local behavioral baseline learning during a two-week training period establishes what normal looks like for each household: when do residents typically wake up, how often do they open the refrigerator, what is the normal pattern of movement through the house during the day, when do they typically go to bed. Deviations from this baseline generate alerts. If the bathroom motion sensor that normally triggers at seven in the morning has not triggered by ten, that is a potential wellness concern. If the kitchen appliances that normally show usage patterns consistent with meal preparation have been quiet for an unusual period, that is worth a notification to a caregiver. These are not false alarms triggered by a forgotten wearable. They are genuine behavioral signals derived from the ambient environment.</w:t>
      </w:r>
    </w:p>
    <w:p>
      <w:pPr>
        <w:spacing w:after="200" w:line="300"/>
      </w:pPr>
      <w:r>
        <w:rPr>
          <w:rFonts w:ascii="Arial" w:cs="Arial" w:eastAsia="Arial" w:hAnsi="Arial"/>
          <w:color w:val="1A1A2E"/>
          <w:sz w:val="22"/>
          <w:szCs w:val="22"/>
        </w:rPr>
        <w:t xml:space="preserve">The privacy-preserving design of NexSys Care is not just ethically correct. It is the reason the product will be accepted by the people being monitored. Dignity is a product requirement. The caregiver dashboard shows pattern-level information, never raw event data. The caregiver sees that activity levels were normal today or that there was an unusual period of inactivity between two and four PM, not that the toilet was flushed four times or that the television was on for six hours. This level of abstraction is critical because the person being monitored is often a parent or grandparent who would refuse a camera-based surveillance system but will accept a sensor system that lets their family know they are okay without revealing the details of their daily life.</w:t>
      </w:r>
    </w:p>
    <w:p>
      <w:pPr>
        <w:spacing w:after="200" w:line="300"/>
      </w:pPr>
      <w:r>
        <w:rPr>
          <w:rFonts w:ascii="Arial" w:cs="Arial" w:eastAsia="Arial" w:hAnsi="Arial"/>
          <w:color w:val="1A1A2E"/>
          <w:sz w:val="22"/>
          <w:szCs w:val="22"/>
        </w:rPr>
        <w:t xml:space="preserve">Weekly summary reports compatible with Medicare RPM documentation enable healthcare providers to bill for monitoring services, creating a reimbursement pathway that can partially or fully cover the twenty-nine to forty-nine dollar monthly subscription cost. This changes the economics dramatically. For many families, NexSys Care becomes effectively free because Medicare pays for it. The channel partners for this product are not smart home retailers. They are home health agencies, geriatric care managers, Medicare Advantage plans, and health systems with hospital-at-home programs. These are institutional buyers with large patient populations and established billing infrastructure.</w:t>
      </w:r>
    </w:p>
    <w:p>
      <w:pPr>
        <w:pStyle w:val="Heading3"/>
      </w:pPr>
      <w:r>
        <w:rPr>
          <w:rFonts w:ascii="Arial" w:cs="Arial" w:eastAsia="Arial" w:hAnsi="Arial"/>
        </w:rPr>
        <w:t xml:space="preserve">The Competitive Vacuum in Ambient Eldercare</w:t>
      </w:r>
    </w:p>
    <w:p>
      <w:pPr>
        <w:spacing w:after="200" w:line="300"/>
      </w:pPr>
      <w:r>
        <w:rPr>
          <w:rFonts w:ascii="Arial" w:cs="Arial" w:eastAsia="Arial" w:hAnsi="Arial"/>
          <w:color w:val="1A1A2E"/>
          <w:sz w:val="22"/>
          <w:szCs w:val="22"/>
        </w:rPr>
        <w:t xml:space="preserve">The competitive landscape for ambient aging-in-place monitoring is remarkably empty of capable entrants. Best Buy Health invested over one-point-two billion dollars in acquisitions including GreatCall and Current Health, then sold Current Health back in 2025 after one hundred and nine million dollars in restructuring charges, admitting the segment has been harder and taken longer to develop than initially expected. Amazon Alexa Together at nineteen-ninety-nine per month provides basic monitoring but only detects interactions with Echo devices, not true ambient sensing. Apple Health requires expensive wearable devices with poor compliance among elderly users. The AgeTech landscape includes over three hundred companies but they are fragmented across siloed tools with no unified platform.</w:t>
      </w:r>
    </w:p>
    <w:p>
      <w:pPr>
        <w:spacing w:after="200" w:line="300"/>
      </w:pPr>
      <w:r>
        <w:rPr>
          <w:rFonts w:ascii="Arial" w:cs="Arial" w:eastAsia="Arial" w:hAnsi="Arial"/>
          <w:color w:val="1A1A2E"/>
          <w:sz w:val="22"/>
          <w:szCs w:val="22"/>
        </w:rPr>
        <w:t xml:space="preserve">The gap in the market is not ambient sensing hardware, which is commodity-priced and widely available. The gap is a unified platform that connects ambient sensors, optional medical devices, caregiver dashboards, clinical workflows, and Medicare billing into a single infrastructure layer. HomeSynapse, with its event-sourced data model, local processing, and institutional API capabilities, is architecturally positioned to be that platform. No competitor can easily replicate this position because it requires the combination of smart home device management, local AI inference for behavioral modeling, privacy-preserving data processing, and healthcare system integration that no single platform currently provides.</w:t>
      </w:r>
    </w:p>
    <w:p>
      <w:pPr>
        <w:pStyle w:val="Heading2"/>
      </w:pPr>
      <w:r>
        <w:rPr>
          <w:rFonts w:ascii="Arial" w:cs="Arial" w:eastAsia="Arial" w:hAnsi="Arial"/>
        </w:rPr>
        <w:t xml:space="preserve">Municipal Resilience: The Emerging Layer</w:t>
      </w:r>
    </w:p>
    <w:p>
      <w:pPr>
        <w:spacing w:after="200" w:line="300"/>
      </w:pPr>
      <w:r>
        <w:rPr>
          <w:rFonts w:ascii="Arial" w:cs="Arial" w:eastAsia="Arial" w:hAnsi="Arial"/>
          <w:color w:val="1A1A2E"/>
          <w:sz w:val="22"/>
          <w:szCs w:val="22"/>
        </w:rPr>
        <w:t xml:space="preserve">The municipal resilience opportunity is the least mature of the institutional plays, but it deserves attention because the architecture decisions being made now determine whether HomeSynapse can participate in it later. The Green Mountain Power model in Vermont is instructive. GMP manages approximately four thousand five hundred to five thousand batteries in customer homes representing fifty to seventy megawatts of aggregated capacity, saving all ratepayers roughly three million dollars per year through peak shaving. Their O'Brien Farms development is the first all-electric, fully resilient neighborhood in the US, with one hundred and fifty-five homes individually equipped with batteries, Span smart panels, solar, and EV charging, plus community-scale storage.</w:t>
      </w:r>
    </w:p>
    <w:p>
      <w:pPr>
        <w:spacing w:after="200" w:line="300"/>
      </w:pPr>
      <w:r>
        <w:rPr>
          <w:rFonts w:ascii="Arial" w:cs="Arial" w:eastAsia="Arial" w:hAnsi="Arial"/>
          <w:color w:val="1A1A2E"/>
          <w:sz w:val="22"/>
          <w:szCs w:val="22"/>
        </w:rPr>
        <w:t xml:space="preserve">The progression from individual home optimization to neighborhood coordination to municipal resilience infrastructure follows the same pattern as the energy, insurance, and healthcare trajectories: individual value creates the installed base, coordination creates institutional value, and institutional partnerships fund further growth. The specific capability that HomeSynapse would need for this market is mesh networking between residential Hubs for local coordination during communication outages, enabling neighborhood-level demand reduction and mutual aid signaling even when centralized internet and utility communication infrastructure fails. This is an R&amp;D investment rather than an immediate product, but the event model and local-first architecture support it without requiring foundational changes.</w:t>
      </w:r>
    </w:p>
    <w:p>
      <w:pPr>
        <w:pBdr>
          <w:bottom w:val="single" w:color="3FA6C9" w:sz="6" w:space="1"/>
        </w:pBdr>
        <w:spacing w:before="240" w:after="240"/>
      </w:pPr>
    </w:p>
    <w:p>
      <w:pPr>
        <w:pStyle w:val="Heading1"/>
      </w:pPr>
      <w:r>
        <w:rPr>
          <w:rFonts w:ascii="Arial" w:cs="Arial" w:eastAsia="Arial" w:hAnsi="Arial"/>
        </w:rPr>
        <w:t xml:space="preserve">Part Four: The Reinforcing Logic of Dual Expansion</w:t>
      </w:r>
    </w:p>
    <w:p>
      <w:pPr>
        <w:pStyle w:val="Heading2"/>
      </w:pPr>
      <w:r>
        <w:rPr>
          <w:rFonts w:ascii="Arial" w:cs="Arial" w:eastAsia="Arial" w:hAnsi="Arial"/>
        </w:rPr>
        <w:t xml:space="preserve">The Consumer Installed Base Is the Institutional Asset</w:t>
      </w:r>
    </w:p>
    <w:p>
      <w:pPr>
        <w:spacing w:after="200" w:line="300"/>
      </w:pPr>
      <w:r>
        <w:rPr>
          <w:rFonts w:ascii="Arial" w:cs="Arial" w:eastAsia="Arial" w:hAnsi="Arial"/>
          <w:color w:val="1A1A2E"/>
          <w:sz w:val="22"/>
          <w:szCs w:val="22"/>
        </w:rPr>
        <w:t xml:space="preserve">The deepest strategic insight in this analysis is that the consumer expansion and the institutional pivot are not competing for resources or attention. They are the same strategy viewed from two different directions. Every consumer installation is a potential institutional participant. Every institutional partnership reduces consumer acquisition costs. The two tracks share the same product infrastructure, the same installed base, and the same data architecture. They differ only in the customer relationship: the consumer pays NexSys for convenience and control, while the institution pays NexSys for access to an aggregated, privacy-preserving view of a residential fleet that the consumer has already chosen to run.</w:t>
      </w:r>
    </w:p>
    <w:p>
      <w:pPr>
        <w:spacing w:after="200" w:line="300"/>
      </w:pPr>
      <w:r>
        <w:rPr>
          <w:rFonts w:ascii="Arial" w:cs="Arial" w:eastAsia="Arial" w:hAnsi="Arial"/>
          <w:color w:val="1A1A2E"/>
          <w:sz w:val="22"/>
          <w:szCs w:val="22"/>
        </w:rPr>
        <w:t xml:space="preserve">Consider the lifecycle of a single HomeSynapse installation. A homeowner buys a Hub and installs it, attracted by the energy dashboard and the promise of local-first reliability. This is consumer revenue at one hundred and forty-nine dollars for hardware plus seven-ninety-nine to fourteen-ninety-nine per month for cloud services. Six months later, the system alerts them that they are eligible for their utility's demand response program and estimates they would earn three hundred dollars per year. They enroll. This is institutional revenue through NexSys Grid at fifteen to twenty percent of the VPP compensation. A year later, their insurer begins offering a ten percent premium discount for verified water monitoring. They add water sensors and enroll in NexSys Assure. This is institutional revenue at two to five dollars per month charged to the insurer, plus the retention benefit of the premium discount creating switching costs. Two years later, the homeowner's parent moves in and they enable NexSys Care's ambient monitoring. This is institutional revenue at twenty-nine to forty-nine dollars per month, potentially reimbursed by Medicare.</w:t>
      </w:r>
    </w:p>
    <w:p>
      <w:pPr>
        <w:spacing w:after="200" w:line="300"/>
      </w:pPr>
      <w:r>
        <w:rPr>
          <w:rFonts w:ascii="Arial" w:cs="Arial" w:eastAsia="Arial" w:hAnsi="Arial"/>
          <w:color w:val="1A1A2E"/>
          <w:sz w:val="22"/>
          <w:szCs w:val="22"/>
        </w:rPr>
        <w:t xml:space="preserve">At each stage, the homeowner's relationship with HomeSynapse deepens through genuine value creation. At no stage is the homeowner's data sold, their experience degraded, or their privacy compromised. The revenue grows from ten to twenty dollars per month per household in the consumer phase to potentially one hundred to two hundred dollars per month per household when institutional services are layered on. And the incremental cost to NexSys of adding each institutional service to an existing installation is near zero, because the infrastructure is already in place.</w:t>
      </w:r>
    </w:p>
    <w:p>
      <w:pPr>
        <w:pStyle w:val="Heading2"/>
      </w:pPr>
      <w:r>
        <w:rPr>
          <w:rFonts w:ascii="Arial" w:cs="Arial" w:eastAsia="Arial" w:hAnsi="Arial"/>
        </w:rPr>
        <w:t xml:space="preserve">Institutional Partnerships as Consumer Acquisition Channels</w:t>
      </w:r>
    </w:p>
    <w:p>
      <w:pPr>
        <w:spacing w:after="200" w:line="300"/>
      </w:pPr>
      <w:r>
        <w:rPr>
          <w:rFonts w:ascii="Arial" w:cs="Arial" w:eastAsia="Arial" w:hAnsi="Arial"/>
          <w:color w:val="1A1A2E"/>
          <w:sz w:val="22"/>
          <w:szCs w:val="22"/>
        </w:rPr>
        <w:t xml:space="preserve">The reinforcing logic works in the other direction as well. Each institutional partnership creates a consumer acquisition channel that is more efficient than any direct marketing NexSys could afford. The utility that subsidizes Hub hardware to enroll demand response participants is paying for NexSys customer acquisition. The insurer that recommends HomeSynapse to policyholders for premium discounts is providing free referrals. The home health agency that deploys NexSys Care in patient homes is installing the full HomeSynapse platform that the patient and their family may then use for all other smart home functions.</w:t>
      </w:r>
    </w:p>
    <w:p>
      <w:pPr>
        <w:spacing w:after="200" w:line="300"/>
      </w:pPr>
      <w:r>
        <w:rPr>
          <w:rFonts w:ascii="Arial" w:cs="Arial" w:eastAsia="Arial" w:hAnsi="Arial"/>
          <w:color w:val="1A1A2E"/>
          <w:sz w:val="22"/>
          <w:szCs w:val="22"/>
        </w:rPr>
        <w:t xml:space="preserve">This is the key difference between NexSys and every competitor. Google acquires users by subsidizing hardware through commerce revenue and monetizing data. Amazon acquires users by selling Alexa devices at a loss and recouping through Prime purchases. Both models require massive capital deployment. NexSys acquires users by providing infrastructure that institutions want to deploy, letting those institutions pay for the deployment, and then serving the consumer with the same platform that the institution subsidized. The capital efficiency of this model is fundamentally different, and it is why a self-funded company can compete with trillion-dollar incumbents.</w:t>
      </w:r>
    </w:p>
    <w:p>
      <w:pPr>
        <w:pStyle w:val="Heading2"/>
      </w:pPr>
      <w:r>
        <w:rPr>
          <w:rFonts w:ascii="Arial" w:cs="Arial" w:eastAsia="Arial" w:hAnsi="Arial"/>
        </w:rPr>
        <w:t xml:space="preserve">The Trust Brand as the Unifying Asset</w:t>
      </w:r>
    </w:p>
    <w:p>
      <w:pPr>
        <w:spacing w:after="200" w:line="300"/>
      </w:pPr>
      <w:r>
        <w:rPr>
          <w:rFonts w:ascii="Arial" w:cs="Arial" w:eastAsia="Arial" w:hAnsi="Arial"/>
          <w:color w:val="1A1A2E"/>
          <w:sz w:val="22"/>
          <w:szCs w:val="22"/>
        </w:rPr>
        <w:t xml:space="preserve">The element that ties both tracks together is the trust brand. For consumers, trust means the system works offline, the data stays local, the event log is transparent, and the company does not monetize their information. For institutions, trust means the attestations are cryptographically verifiable, the dispatch records are auditable, the compliance documentation is reliable, and the platform operator has no conflicting incentives. These are not different kinds of trust. They are different expressions of the same architectural commitment to transparency, sovereignty, and verifiable behavior.</w:t>
      </w:r>
    </w:p>
    <w:p>
      <w:pPr>
        <w:spacing w:after="200" w:line="300"/>
      </w:pPr>
      <w:r>
        <w:rPr>
          <w:rFonts w:ascii="Arial" w:cs="Arial" w:eastAsia="Arial" w:hAnsi="Arial"/>
          <w:color w:val="1A1A2E"/>
          <w:sz w:val="22"/>
          <w:szCs w:val="22"/>
        </w:rPr>
        <w:t xml:space="preserve">The trust brand is also the reason that NexSys can serve both the homeowner and the institution without creating a conflict of interest. Google cannot be the trusted homeowner platform and the utility demand response partner simultaneously, because homeowners do not trust Google with their data. Amazon cannot be the trusted privacy-preserving monitoring platform because its business model is built on data collection. NexSys occupies the only position in the market where the homeowner's interests and the institution's interests are aligned, because the architecture guarantees that the institution receives only what the homeowner explicitly authorizes, and the authorization is scoped, time-limited, and revocable.</w:t>
      </w:r>
    </w:p>
    <w:p>
      <w:pPr>
        <w:pBdr>
          <w:bottom w:val="single" w:color="3FA6C9" w:sz="6" w:space="1"/>
        </w:pBdr>
        <w:spacing w:before="240" w:after="240"/>
      </w:pPr>
    </w:p>
    <w:p>
      <w:pPr>
        <w:pStyle w:val="Heading1"/>
      </w:pPr>
      <w:r>
        <w:rPr>
          <w:rFonts w:ascii="Arial" w:cs="Arial" w:eastAsia="Arial" w:hAnsi="Arial"/>
        </w:rPr>
        <w:t xml:space="preserve">Part Five: The Enterprise Product Architecture</w:t>
      </w:r>
    </w:p>
    <w:p>
      <w:pPr>
        <w:pStyle w:val="Heading2"/>
      </w:pPr>
      <w:r>
        <w:rPr>
          <w:rFonts w:ascii="Arial" w:cs="Arial" w:eastAsia="Arial" w:hAnsi="Arial"/>
        </w:rPr>
        <w:t xml:space="preserve">The Product Constellation at Scale</w:t>
      </w:r>
    </w:p>
    <w:p>
      <w:pPr>
        <w:spacing w:after="200" w:line="300"/>
      </w:pPr>
      <w:r>
        <w:rPr>
          <w:rFonts w:ascii="Arial" w:cs="Arial" w:eastAsia="Arial" w:hAnsi="Arial"/>
          <w:color w:val="1A1A2E"/>
          <w:sz w:val="22"/>
          <w:szCs w:val="22"/>
        </w:rPr>
        <w:t xml:space="preserve">As HomeSynapse moves from a single-product platform to a multi-surface product constellation, the organizational principle must be clear: every product runs on the same HomeSynapse runtime. If a product needs a different engine, the engine must be fixed rather than a separate engine built. This principle preserves the architectural coherence that is NexSys's primary competitive advantage, and it ensures that every institutional service benefits from improvements to the core platform.</w:t>
      </w:r>
    </w:p>
    <w:p>
      <w:pPr>
        <w:spacing w:after="200" w:line="300"/>
      </w:pPr>
      <w:r>
        <w:rPr>
          <w:rFonts w:ascii="Arial" w:cs="Arial" w:eastAsia="Arial" w:hAnsi="Arial"/>
          <w:color w:val="1A1A2E"/>
          <w:sz w:val="22"/>
          <w:szCs w:val="22"/>
        </w:rPr>
        <w:t xml:space="preserve">The consumer surface consists of HomeSynapse Core, which is free and open-source; HomeSynapse Cloud, which provides remote access, backup, and push notifications; HomeSynapse Hub and Hub Pro, which are the golden-path hardware; and HomeSynapse Voice, which enables local voice processing. The energy surface adds HomeSynapse Energy, which is the consumer-facing energy dashboard and optimization engine. The institutional surface includes NexSys Grid for VPP aggregation, NexSys Assure for insurance attestation, and NexSys Care for aging-in-place monitoring. The channel surface includes HomeSynapse Professional for installers, HomeSynapse Property for multi-dwelling-unit management, and NexSys for Builders for new construction deployment.</w:t>
      </w:r>
    </w:p>
    <w:p>
      <w:pPr>
        <w:spacing w:after="200" w:line="300"/>
      </w:pPr>
      <w:r>
        <w:rPr>
          <w:rFonts w:ascii="Arial" w:cs="Arial" w:eastAsia="Arial" w:hAnsi="Arial"/>
          <w:color w:val="1A1A2E"/>
          <w:sz w:val="22"/>
          <w:szCs w:val="22"/>
        </w:rPr>
        <w:t xml:space="preserve">The platform surface, which activates at scale, includes the Developer SDK with enforced event model and privacy model, the integration marketplace, the Data Sovereignty API that lets users grant scoped access to specific event categories for specific third parties, NexSys OS for OEM licensing, and the NexSys Trust Mark for device certification. Each of these surfaces is a distinct product with its own pricing, its own go-to-market motion, and its own customer relationship. But they all share the same runtime, the same event model, the same security model, and the same data architecture. This is infrastructure thinking applied to a product portfolio.</w:t>
      </w:r>
    </w:p>
    <w:p>
      <w:pPr>
        <w:pStyle w:val="Heading2"/>
      </w:pPr>
      <w:r>
        <w:rPr>
          <w:rFonts w:ascii="Arial" w:cs="Arial" w:eastAsia="Arial" w:hAnsi="Arial"/>
        </w:rPr>
        <w:t xml:space="preserve">HomeSynapse Enterprise Edition: What It Contains</w:t>
      </w:r>
    </w:p>
    <w:p>
      <w:pPr>
        <w:spacing w:after="200" w:line="300"/>
      </w:pPr>
      <w:r>
        <w:rPr>
          <w:rFonts w:ascii="Arial" w:cs="Arial" w:eastAsia="Arial" w:hAnsi="Arial"/>
          <w:color w:val="1A1A2E"/>
          <w:sz w:val="22"/>
          <w:szCs w:val="22"/>
        </w:rPr>
        <w:t xml:space="preserve">The enterprise edition of HomeSynapse, or more precisely the NexSys institutional product suite, should not be a separate codebase or a separate product. It should be a licensing tier and API layer that activates enterprise capabilities on the same HomeSynapse Core runtime. The distinction matters because it preserves the single-runtime principle and ensures that enterprise customers benefit from the same reliability, the same update cadence, and the same community-driven integration ecosystem as consumer users.</w:t>
      </w:r>
    </w:p>
    <w:p>
      <w:pPr>
        <w:spacing w:after="200" w:line="300"/>
      </w:pPr>
      <w:r>
        <w:rPr>
          <w:rFonts w:ascii="Arial" w:cs="Arial" w:eastAsia="Arial" w:hAnsi="Arial"/>
          <w:color w:val="1A1A2E"/>
          <w:sz w:val="22"/>
          <w:szCs w:val="22"/>
        </w:rPr>
        <w:t xml:space="preserve">The enterprise capabilities that distinguish the institutional tier include fleet management APIs that allow utilities, insurers, and healthcare organizations to interact with populations of HomeSynapse installations at scale. This means enrollment management, where an institution can send program invitations to eligible installations and track opt-in status. It means aggregated telemetry, where an institution can receive population-level statistics without accessing individual home data. It means dispatch coordination, where a utility can send demand response signals to enrolled installations and receive verified participation confirmations. It means attestation services, where an insurer can receive cryptographic compliance proofs from enrolled installations. And it means reporting services, where a healthcare provider can receive aggregated wellness summaries compatible with RPM billing requirements.</w:t>
      </w:r>
    </w:p>
    <w:p>
      <w:pPr>
        <w:spacing w:after="200" w:line="300"/>
      </w:pPr>
      <w:r>
        <w:rPr>
          <w:rFonts w:ascii="Arial" w:cs="Arial" w:eastAsia="Arial" w:hAnsi="Arial"/>
          <w:color w:val="1A1A2E"/>
          <w:sz w:val="22"/>
          <w:szCs w:val="22"/>
        </w:rPr>
        <w:t xml:space="preserve">Each of these capabilities is mediated through the Data Sovereignty API, which implements the core NexSys principle that the homeowner controls what data leaves their home. When a utility sends a demand response signal, the homeowner's HomeSynapse installation decides locally whether and how to respond based on the homeowner's configured preferences and constraints. The homeowner can set minimum comfort levels, maximum battery discharge depths, and times when specific loads must not be curtailed. The institution receives only the aggregated response, not the individual decisions that produced it. This architecture is not just privacy-preserving. It is legally defensible under GDPR, CCPA, and the emerging IoT privacy frameworks that the EU CRA and US Cyber Trust Mark represent.</w:t>
      </w:r>
    </w:p>
    <w:p>
      <w:pPr>
        <w:pStyle w:val="Heading2"/>
      </w:pPr>
      <w:r>
        <w:rPr>
          <w:rFonts w:ascii="Arial" w:cs="Arial" w:eastAsia="Arial" w:hAnsi="Arial"/>
        </w:rPr>
        <w:t xml:space="preserve">The Institutional API Layer</w:t>
      </w:r>
    </w:p>
    <w:p>
      <w:pPr>
        <w:spacing w:after="200" w:line="300"/>
      </w:pPr>
      <w:r>
        <w:rPr>
          <w:rFonts w:ascii="Arial" w:cs="Arial" w:eastAsia="Arial" w:hAnsi="Arial"/>
          <w:color w:val="1A1A2E"/>
          <w:sz w:val="22"/>
          <w:szCs w:val="22"/>
        </w:rPr>
        <w:t xml:space="preserve">The technical implementation of the institutional product suite requires a standardized API layer that speaks the languages of each institutional domain. For energy, this means OpenADR 3.x for utility demand response signals, SunSpec Modbus for inverter and battery communication, OCPP for EV charger control, and wholesale market participation protocols for FERC 2222 compliance. For insurance, this means a cryptographic attestation protocol that produces verifiable proofs of device operational status, event history summaries, and compliance certifications. For healthcare, this means FHIR and HL7 interfaces for RPM data exchange with clinical systems, and documentation formats compatible with Medicare CPT code billing requirements. For municipal coordination, this means emergency demand reduction signaling and, eventually, mesh networking protocols for communication-independent coordination.</w:t>
      </w:r>
    </w:p>
    <w:p>
      <w:pPr>
        <w:spacing w:after="200" w:line="300"/>
      </w:pPr>
      <w:r>
        <w:rPr>
          <w:rFonts w:ascii="Arial" w:cs="Arial" w:eastAsia="Arial" w:hAnsi="Arial"/>
          <w:color w:val="1A1A2E"/>
          <w:sz w:val="22"/>
          <w:szCs w:val="22"/>
        </w:rPr>
        <w:t xml:space="preserve">Building this API layer is a significant engineering investment, but it is an investment that creates compounding returns. Each institutional interface, once built and certified, becomes a channel through which multiple partners can deploy programs. The OpenADR 3.x VEN implementation does not need to be rebuilt for each utility. The attestation protocol does not need to be customized for each insurer. The RPM reporting format does not need to be modified for each healthcare provider. The standardization of these interfaces is what transforms NexSys from a company that does custom institutional deals into a platform that institutions can self-service onto.</w:t>
      </w:r>
    </w:p>
    <w:p>
      <w:pPr>
        <w:pBdr>
          <w:bottom w:val="single" w:color="3FA6C9" w:sz="6" w:space="1"/>
        </w:pBdr>
        <w:spacing w:before="240" w:after="240"/>
      </w:pPr>
    </w:p>
    <w:p>
      <w:pPr>
        <w:pStyle w:val="Heading1"/>
      </w:pPr>
      <w:r>
        <w:rPr>
          <w:rFonts w:ascii="Arial" w:cs="Arial" w:eastAsia="Arial" w:hAnsi="Arial"/>
        </w:rPr>
        <w:t xml:space="preserve">Part Six: Sequencing the Dual Expansion</w:t>
      </w:r>
    </w:p>
    <w:p>
      <w:pPr>
        <w:pStyle w:val="Heading2"/>
      </w:pPr>
      <w:r>
        <w:rPr>
          <w:rFonts w:ascii="Arial" w:cs="Arial" w:eastAsia="Arial" w:hAnsi="Arial"/>
        </w:rPr>
        <w:t xml:space="preserve">What Must Happen in Parallel</w:t>
      </w:r>
    </w:p>
    <w:p>
      <w:pPr>
        <w:spacing w:after="200" w:line="300"/>
      </w:pPr>
      <w:r>
        <w:rPr>
          <w:rFonts w:ascii="Arial" w:cs="Arial" w:eastAsia="Arial" w:hAnsi="Arial"/>
          <w:color w:val="1A1A2E"/>
          <w:sz w:val="22"/>
          <w:szCs w:val="22"/>
        </w:rPr>
        <w:t xml:space="preserve">The dual expansion cannot be fully sequential. Certain consumer and institutional workstreams must run in parallel because they share dependencies, and because the institutional revenue is needed to fund the consumer product improvements that drive mainstream adoption. The sequencing framework below identifies three time horizons and specifies what must be accomplished in each.</w:t>
      </w:r>
    </w:p>
    <w:p>
      <w:pPr>
        <w:pStyle w:val="Heading3"/>
      </w:pPr>
      <w:r>
        <w:rPr>
          <w:rFonts w:ascii="Arial" w:cs="Arial" w:eastAsia="Arial" w:hAnsi="Arial"/>
        </w:rPr>
        <w:t xml:space="preserve">Near Term: Months Zero Through Twelve</w:t>
      </w:r>
    </w:p>
    <w:p>
      <w:pPr>
        <w:spacing w:after="200" w:line="300"/>
      </w:pPr>
      <w:r>
        <w:rPr>
          <w:rFonts w:ascii="Arial" w:cs="Arial" w:eastAsia="Arial" w:hAnsi="Arial"/>
          <w:color w:val="1A1A2E"/>
          <w:sz w:val="22"/>
          <w:szCs w:val="22"/>
        </w:rPr>
        <w:t xml:space="preserve">The first twelve months should focus on three parallel tracks. On the consumer track, the priority is mobile app excellence, onboarding simplification, and the initial build-out of the professional installer certification program. The mobile app must reach the point where a mainstream consumer can manage their entire home from their phone with the same responsiveness and visual quality they expect from a Nest or Ring app. The onboarding flow must be reduced to five minutes or less for the Hub golden path. The installer program needs at least twenty to thirty certified installers in the initial launch markets.</w:t>
      </w:r>
    </w:p>
    <w:p>
      <w:pPr>
        <w:spacing w:after="200" w:line="300"/>
      </w:pPr>
      <w:r>
        <w:rPr>
          <w:rFonts w:ascii="Arial" w:cs="Arial" w:eastAsia="Arial" w:hAnsi="Arial"/>
          <w:color w:val="1A1A2E"/>
          <w:sz w:val="22"/>
          <w:szCs w:val="22"/>
        </w:rPr>
        <w:t xml:space="preserve">On the institutional track, the priority is energy. NexSys Grid should be processing its first demand response events with one to three utility partners. The OpenADR 3.x VEN implementation should be complete and certified. The energy dashboard should be showing users their estimated demand response earnings and prompting enrollment. This is the institutional beachhead because it generates the highest near-term revenue, provides the most compelling consumer value proposition for saving money, and creates the utility partnership flywheel that subsidizes hardware deployment.</w:t>
      </w:r>
    </w:p>
    <w:p>
      <w:pPr>
        <w:spacing w:after="200" w:line="300"/>
      </w:pPr>
      <w:r>
        <w:rPr>
          <w:rFonts w:ascii="Arial" w:cs="Arial" w:eastAsia="Arial" w:hAnsi="Arial"/>
          <w:color w:val="1A1A2E"/>
          <w:sz w:val="22"/>
          <w:szCs w:val="22"/>
        </w:rPr>
        <w:t xml:space="preserve">On the platform track, the priority is documentation, developer tooling, and the first version of the Data Sovereignty API. The documentation-as-marketing strategy that has worked for the beachhead audience needs to expand to include consumer-accessible content: video tutorials, setup guides for common device combinations, and energy saving case studies with specific dollar amounts. The developer SDK should be stable enough for third-party integration development, even if the marketplace is not yet live.</w:t>
      </w:r>
    </w:p>
    <w:p>
      <w:pPr>
        <w:pStyle w:val="Heading3"/>
      </w:pPr>
      <w:r>
        <w:rPr>
          <w:rFonts w:ascii="Arial" w:cs="Arial" w:eastAsia="Arial" w:hAnsi="Arial"/>
        </w:rPr>
        <w:t xml:space="preserve">Medium Term: Months Twelve Through Twenty-Four</w:t>
      </w:r>
    </w:p>
    <w:p>
      <w:pPr>
        <w:spacing w:after="200" w:line="300"/>
      </w:pPr>
      <w:r>
        <w:rPr>
          <w:rFonts w:ascii="Arial" w:cs="Arial" w:eastAsia="Arial" w:hAnsi="Arial"/>
          <w:color w:val="1A1A2E"/>
          <w:sz w:val="22"/>
          <w:szCs w:val="22"/>
        </w:rPr>
        <w:t xml:space="preserve">The second year should see the consumer and institutional tracks begin to converge. On the consumer side, the installer network should be scaling to fifty-plus certified installers. The first utility-subsidized hardware deployments should be bringing in users at near-zero acquisition cost. The mobile app should support the full range of consumer features including energy optimization, automation management, and the initial NexSys Assure enrollment flow.</w:t>
      </w:r>
    </w:p>
    <w:p>
      <w:pPr>
        <w:spacing w:after="200" w:line="300"/>
      </w:pPr>
      <w:r>
        <w:rPr>
          <w:rFonts w:ascii="Arial" w:cs="Arial" w:eastAsia="Arial" w:hAnsi="Arial"/>
          <w:color w:val="1A1A2E"/>
          <w:sz w:val="22"/>
          <w:szCs w:val="22"/>
        </w:rPr>
        <w:t xml:space="preserve">On the institutional side, NexSys Assure should launch with one to two insurance partners. The cryptographic attestation engine should be operational, generating daily compliance proofs for enrolled installations. The initial insurance partnerships should demonstrate the model: insurer funds device deployment, homeowner receives premium discount, NexSys receives attestation fee and retention benefit. NexSys Care should be in private beta with a small number of home health agency partners, generating the clinical evidence and operational experience needed for broader launch.</w:t>
      </w:r>
    </w:p>
    <w:p>
      <w:pPr>
        <w:spacing w:after="200" w:line="300"/>
      </w:pPr>
      <w:r>
        <w:rPr>
          <w:rFonts w:ascii="Arial" w:cs="Arial" w:eastAsia="Arial" w:hAnsi="Arial"/>
          <w:color w:val="1A1A2E"/>
          <w:sz w:val="22"/>
          <w:szCs w:val="22"/>
        </w:rPr>
        <w:t xml:space="preserve">On the platform side, the integration marketplace should launch with the fifty rock-solid integrations that cover ninety percent of use cases, plus the first wave of community-contributed integrations. The NexSys Trust Mark program should begin certifying devices, creating ecosystem leverage that attracts more device manufacturers to ensure HomeSynapse compatibility.</w:t>
      </w:r>
    </w:p>
    <w:p>
      <w:pPr>
        <w:pStyle w:val="Heading3"/>
      </w:pPr>
      <w:r>
        <w:rPr>
          <w:rFonts w:ascii="Arial" w:cs="Arial" w:eastAsia="Arial" w:hAnsi="Arial"/>
        </w:rPr>
        <w:t xml:space="preserve">Longer Term: Months Twenty-Four Through Forty-Eight</w:t>
      </w:r>
    </w:p>
    <w:p>
      <w:pPr>
        <w:spacing w:after="200" w:line="300"/>
      </w:pPr>
      <w:r>
        <w:rPr>
          <w:rFonts w:ascii="Arial" w:cs="Arial" w:eastAsia="Arial" w:hAnsi="Arial"/>
          <w:color w:val="1A1A2E"/>
          <w:sz w:val="22"/>
          <w:szCs w:val="22"/>
        </w:rPr>
        <w:t xml:space="preserve">Years three and four should see the full product constellation operational. NexSys Grid should be serving five or more utility partners with fifty thousand or more enrolled homes. NexSys Assure should be live with multiple insurers and demonstrating the premium-discount-as-switching-cost model at scale. NexSys Care should be generating Medicare RPM-eligible reports and serving as ambient monitoring infrastructure for health system partners. HomeSynapse Professional should be reaching the eighty percent of homeowners who will never DIY. HomeSynapse Property should have its first MDU deployment of five hundred or more units.</w:t>
      </w:r>
    </w:p>
    <w:p>
      <w:pPr>
        <w:spacing w:after="200" w:line="300"/>
      </w:pPr>
      <w:r>
        <w:rPr>
          <w:rFonts w:ascii="Arial" w:cs="Arial" w:eastAsia="Arial" w:hAnsi="Arial"/>
          <w:color w:val="1A1A2E"/>
          <w:sz w:val="22"/>
          <w:szCs w:val="22"/>
        </w:rPr>
        <w:t xml:space="preserve">At this stage, the dual expansion has created a self-reinforcing system. Consumer installations provide the fleet for institutional services. Institutional partnerships fund consumer acquisition. The trust brand serves both audiences. Revenue diversification across consumer subscriptions, hardware, VPP aggregation, insurance attestation, and care monitoring creates resilience against market disruption in any single segment. And the architectural moat, which was established at the foundation level, continues to compound as each institutional service adds another layer of switching cost through genuine value creation.</w:t>
      </w:r>
    </w:p>
    <w:p>
      <w:pPr>
        <w:pStyle w:val="Heading2"/>
      </w:pPr>
      <w:r>
        <w:rPr>
          <w:rFonts w:ascii="Arial" w:cs="Arial" w:eastAsia="Arial" w:hAnsi="Arial"/>
        </w:rPr>
        <w:t xml:space="preserve">The Decision Framework for Prioritization</w:t>
      </w:r>
    </w:p>
    <w:p>
      <w:pPr>
        <w:spacing w:after="200" w:line="300"/>
      </w:pPr>
      <w:r>
        <w:rPr>
          <w:rFonts w:ascii="Arial" w:cs="Arial" w:eastAsia="Arial" w:hAnsi="Arial"/>
          <w:color w:val="1A1A2E"/>
          <w:sz w:val="22"/>
          <w:szCs w:val="22"/>
        </w:rPr>
        <w:t xml:space="preserve">When resource conflicts arise between the consumer and institutional tracks, the prioritization framework should be: does this decision compound? If improving the mobile app enables both better consumer retention and smoother institutional enrollment flows, it compounds and should be prioritized. If a custom integration for a single utility partner does not improve the platform for anyone else, it does not compound and should be deprioritized in favor of work that serves both tracks.</w:t>
      </w:r>
    </w:p>
    <w:p>
      <w:pPr>
        <w:spacing w:after="200" w:line="300"/>
      </w:pPr>
      <w:r>
        <w:rPr>
          <w:rFonts w:ascii="Arial" w:cs="Arial" w:eastAsia="Arial" w:hAnsi="Arial"/>
          <w:color w:val="1A1A2E"/>
          <w:sz w:val="22"/>
          <w:szCs w:val="22"/>
        </w:rPr>
        <w:t xml:space="preserve">The specific test is: every consumer feature should be evaluated for its institutional implications, and every institutional feature should be evaluated for its consumer implications. The energy dashboard is a consumer feature that creates the institutional enrollment funnel. The attestation engine is an institutional feature that creates the consumer retention mechanism. The RF health diagnostics are a consumer feature that creates professional installer tooling. The Data Sovereignty API is an institutional feature that creates consumer trust by making data control explicit and visible. In a well-designed dual expansion, there are very few features that serve only one track.</w:t>
      </w:r>
    </w:p>
    <w:p>
      <w:pPr>
        <w:pBdr>
          <w:bottom w:val="single" w:color="3FA6C9" w:sz="6" w:space="1"/>
        </w:pBdr>
        <w:spacing w:before="240" w:after="240"/>
      </w:pPr>
    </w:p>
    <w:p>
      <w:pPr>
        <w:pStyle w:val="Heading1"/>
      </w:pPr>
      <w:r>
        <w:rPr>
          <w:rFonts w:ascii="Arial" w:cs="Arial" w:eastAsia="Arial" w:hAnsi="Arial"/>
        </w:rPr>
        <w:t xml:space="preserve">Part Seven: Why NexSys Wins This Market</w:t>
      </w:r>
    </w:p>
    <w:p>
      <w:pPr>
        <w:pStyle w:val="Heading2"/>
      </w:pPr>
      <w:r>
        <w:rPr>
          <w:rFonts w:ascii="Arial" w:cs="Arial" w:eastAsia="Arial" w:hAnsi="Arial"/>
        </w:rPr>
        <w:t xml:space="preserve">The Competitive Landscape Cannot Replicate This Position</w:t>
      </w:r>
    </w:p>
    <w:p>
      <w:pPr>
        <w:spacing w:after="200" w:line="300"/>
      </w:pPr>
      <w:r>
        <w:rPr>
          <w:rFonts w:ascii="Arial" w:cs="Arial" w:eastAsia="Arial" w:hAnsi="Arial"/>
          <w:color w:val="1A1A2E"/>
          <w:sz w:val="22"/>
          <w:szCs w:val="22"/>
        </w:rPr>
        <w:t xml:space="preserve">The final question to address is whether the competitive landscape poses an existential threat to this strategy. The answer is no, for structural reasons that are unlikely to change.</w:t>
      </w:r>
    </w:p>
    <w:p>
      <w:pPr>
        <w:spacing w:after="200" w:line="300"/>
      </w:pPr>
      <w:r>
        <w:rPr>
          <w:rFonts w:ascii="Arial" w:cs="Arial" w:eastAsia="Arial" w:hAnsi="Arial"/>
          <w:color w:val="1A1A2E"/>
          <w:sz w:val="22"/>
          <w:szCs w:val="22"/>
        </w:rPr>
        <w:t xml:space="preserve">Google, Amazon, and Apple control the three largest smart home ecosystems in the United States, with a combined penetration of roughly seventy-nine percent of the US household base. Their scale advantages in hardware distribution, brand recognition, and ecosystem lock-in are unassailable. But their business models make it structurally impossible for them to occupy the position NexSys is building. Google monetizes data. Amazon monetizes commerce. Apple monetizes hardware lock-in. None of them can credibly serve as a privacy-preserving trust intermediary between homeowners and institutions, because the homeowner has no reason to trust that their data will not be used for the platform's own commercial purposes. The fifty-seven percent of Americans who are concerned about smart home data collection, and the eighty-two percent who still trust their devices despite that concern, represent a cognitive dissonance that is latent demand for a platform that resolves the tension. NexSys resolves it architecturally.</w:t>
      </w:r>
    </w:p>
    <w:p>
      <w:pPr>
        <w:spacing w:after="200" w:line="300"/>
      </w:pPr>
      <w:r>
        <w:rPr>
          <w:rFonts w:ascii="Arial" w:cs="Arial" w:eastAsia="Arial" w:hAnsi="Arial"/>
          <w:color w:val="1A1A2E"/>
          <w:sz w:val="22"/>
          <w:szCs w:val="22"/>
        </w:rPr>
        <w:t xml:space="preserve">Home Assistant is the closest competitor in philosophy but not in ambition. Its community of two million installations represents the largest privacy-respecting smart home deployment in the world, and its open-source ethos aligns with NexSys values. But Home Assistant has no institutional ambition. It does not implement OpenADR. It does not generate insurance attestations. It does not produce Medicare RPM-eligible reports. Its architecture, while functional, lacks event sourcing and crash isolation, which means it cannot provide the auditable, verified records that institutional partners require. Home Assistant is an excellent hobbyist platform that will continue to thrive. It is not a competitor for the institutional market that NexSys is building toward.</w:t>
      </w:r>
    </w:p>
    <w:p>
      <w:pPr>
        <w:spacing w:after="200" w:line="300"/>
      </w:pPr>
      <w:r>
        <w:rPr>
          <w:rFonts w:ascii="Arial" w:cs="Arial" w:eastAsia="Arial" w:hAnsi="Arial"/>
          <w:color w:val="1A1A2E"/>
          <w:sz w:val="22"/>
          <w:szCs w:val="22"/>
        </w:rPr>
        <w:t xml:space="preserve">SmartRent dominates the MDU market with eight hundred and ninety thousand units under management, but it is cloud-dependent, has no consumer play, and its hardware revenue is declining. Its position in multi-dwelling-unit management is strong but narrow, and it has no pathway to the energy, insurance, or healthcare institutional markets. Control4 and Snap One serve the professional installer channel with expensive, closed systems that have no open-source foundation and no institutional ambition. Aqara has impressive hardware scale at thirteen million users but limited platform depth and Chinese data sovereignty concerns that preclude institutional adoption in the US market.</w:t>
      </w:r>
    </w:p>
    <w:p>
      <w:pPr>
        <w:spacing w:after="200" w:line="300"/>
      </w:pPr>
      <w:r>
        <w:rPr>
          <w:rFonts w:ascii="Arial" w:cs="Arial" w:eastAsia="Arial" w:hAnsi="Arial"/>
          <w:color w:val="1A1A2E"/>
          <w:sz w:val="22"/>
          <w:szCs w:val="22"/>
        </w:rPr>
        <w:t xml:space="preserve">No existing competitor combines local-first architecture, event-sourced auditability, privacy-by-design data handling, heterogeneous energy device orchestration, and institutional API capabilities in a single platform. This combination is not something that can be added to an existing platform through incremental feature development. It requires the foundational architectural decisions that NexSys made at the outset. Those decisions cannot be retroactively applied to a cloud-dependent platform, a non-event-sourced platform, or a platform without formal crash isolation. The architectural moat is real, and it compounds with every institutional relationship that depends on it.</w:t>
      </w:r>
    </w:p>
    <w:p>
      <w:pPr>
        <w:pBdr>
          <w:bottom w:val="single" w:color="3FA6C9" w:sz="6" w:space="1"/>
        </w:pBdr>
        <w:spacing w:before="240" w:after="240"/>
      </w:pPr>
    </w:p>
    <w:p>
      <w:pPr>
        <w:pStyle w:val="Heading1"/>
      </w:pPr>
      <w:r>
        <w:rPr>
          <w:rFonts w:ascii="Arial" w:cs="Arial" w:eastAsia="Arial" w:hAnsi="Arial"/>
        </w:rPr>
        <w:t xml:space="preserve">Conclusion: The Company Worth Building</w:t>
      </w:r>
    </w:p>
    <w:p>
      <w:pPr>
        <w:spacing w:after="200" w:line="300"/>
      </w:pPr>
      <w:r>
        <w:rPr>
          <w:rFonts w:ascii="Arial" w:cs="Arial" w:eastAsia="Arial" w:hAnsi="Arial"/>
          <w:color w:val="1A1A2E"/>
          <w:sz w:val="22"/>
          <w:szCs w:val="22"/>
        </w:rPr>
        <w:t xml:space="preserve">HomeSynapse started as the best local-first smart home runtime for technically literate users. It is now positioned to become the control plane for resilient, private, energy-aware, safety-aware homes. The dual expansion into mainstream consumer adoption and institutional partnerships is not a pivot away from the original vision. It is the fulfillment of it. The original roadmap described this trajectory. The market research confirms it is viable. The competitive landscape confirms no one else is building it.</w:t>
      </w:r>
    </w:p>
    <w:p>
      <w:pPr>
        <w:spacing w:after="200" w:line="300"/>
      </w:pPr>
      <w:r>
        <w:rPr>
          <w:rFonts w:ascii="Arial" w:cs="Arial" w:eastAsia="Arial" w:hAnsi="Arial"/>
          <w:color w:val="1A1A2E"/>
          <w:sz w:val="22"/>
          <w:szCs w:val="22"/>
        </w:rPr>
        <w:t xml:space="preserve">The home is becoming a regulated, grid-connected, insurable, healthcare-adjacent, software-defined environment. The company that mediates between the homeowner and the institutions forming around that environment, on the homeowner's terms, captures a position that no amount of hardware subsidy or cloud infrastructure can replicate. Every competitor either serves the institution's interests at the homeowner's expense, or has no institutional ambition at all. NexSys occupies the only position that serves both sides while preserving homeowner sovereignty.</w:t>
      </w:r>
    </w:p>
    <w:p>
      <w:pPr>
        <w:spacing w:after="200" w:line="300"/>
      </w:pPr>
      <w:r>
        <w:rPr>
          <w:rFonts w:ascii="Arial" w:cs="Arial" w:eastAsia="Arial" w:hAnsi="Arial"/>
          <w:color w:val="1A1A2E"/>
          <w:sz w:val="22"/>
          <w:szCs w:val="22"/>
        </w:rPr>
        <w:t xml:space="preserve">The architectural decisions that enable this position have already been made. The event-sourced data model, the local-first processing guarantee, the crash-isolated integration architecture, the first-class energy domain, the privacy-by-design data handling, and the Apache 2.0 licensing are all locked decisions. They are permanent because they are not features. They are the identity of the company. Everything in this report, every consumer product improvement, every institutional partnership, every enterprise API, and every channel strategy, is an expression of those architectural commitments applied to the markets that are forming around the modern home.</w:t>
      </w:r>
    </w:p>
    <w:p>
      <w:pPr>
        <w:spacing w:after="200" w:line="300"/>
      </w:pPr>
      <w:r>
        <w:rPr>
          <w:rFonts w:ascii="Arial" w:cs="Arial" w:eastAsia="Arial" w:hAnsi="Arial"/>
          <w:color w:val="1A1A2E"/>
          <w:sz w:val="22"/>
          <w:szCs w:val="22"/>
        </w:rPr>
        <w:t xml:space="preserve">The window for building this position is approximately three to five years. FERC 2222 implementation will be complete across most markets by 2028-2030. Insurance monitoring mandates will become widespread by 2030-2035. Medicare RPM coverage will continue expanding. The platform that is in position when these markets mature will capture them. The platform that starts building after they mature will not. NexSys is in position. The task now is execution.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5A"/>
        <w:sz w:val="16"/>
        <w:szCs w:val="16"/>
      </w:rPr>
      <w:t xml:space="preserve">NexSys — Internal Strategic — Page </w:t>
    </w:r>
    <w:r>
      <w:rPr>
        <w:rFonts w:ascii="Arial" w:cs="Arial" w:eastAsia="Arial" w:hAnsi="Arial"/>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4A5A"/>
        <w:sz w:val="16"/>
        <w:szCs w:val="16"/>
      </w:rPr>
      <w:t xml:space="preserve">NexSys Strategic Intelligence — From Platform to Institution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3FA6C9" w:sz="4" w:space="4"/>
      </w:pBdr>
      <w:spacing w:before="480" w:after="240"/>
      <w:outlineLvl w:val="0"/>
    </w:pPr>
    <w:rPr>
      <w:rFonts w:ascii="Arial" w:cs="Arial" w:eastAsia="Arial" w:hAnsi="Arial"/>
      <w:b/>
      <w:bCs/>
      <w:color w:val="2F6FA3"/>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FA6C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2026-03-07T00:18:30.909Z</dcterms:created>
  <dcterms:modified xsi:type="dcterms:W3CDTF">2026-03-07T00:18:30.909Z</dcterms:modified>
</cp:coreProperties>
</file>

<file path=docProps/custom.xml><?xml version="1.0" encoding="utf-8"?>
<Properties xmlns="http://schemas.openxmlformats.org/officeDocument/2006/custom-properties" xmlns:vt="http://schemas.openxmlformats.org/officeDocument/2006/docPropsVTypes"/>
</file>