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r>
        <w:rPr>
          <w:rFonts w:ascii="Arial" w:cs="Arial" w:eastAsia="Arial" w:hAnsi="Arial"/>
          <w:color w:val="6B7B8D"/>
          <w:sz w:val="22"/>
          <w:szCs w:val="22"/>
        </w:rPr>
        <w:t xml:space="preserve">NexSys Technical Strategy</w:t>
      </w:r>
    </w:p>
    <w:p>
      <w:pPr>
        <w:spacing w:after="200"/>
      </w:pPr>
    </w:p>
    <w:p>
      <w:pPr>
        <w:spacing w:after="120"/>
      </w:pPr>
      <w:r>
        <w:rPr>
          <w:rFonts w:ascii="Arial" w:cs="Arial" w:eastAsia="Arial" w:hAnsi="Arial"/>
          <w:b/>
          <w:bCs/>
          <w:color w:val="2F6FA3"/>
          <w:sz w:val="56"/>
          <w:szCs w:val="56"/>
        </w:rPr>
        <w:t xml:space="preserve">HomeSynapse v1 MVP</w:t>
      </w:r>
    </w:p>
    <w:p>
      <w:pPr>
        <w:spacing w:after="120"/>
      </w:pPr>
      <w:r>
        <w:rPr>
          <w:rFonts w:ascii="Arial" w:cs="Arial" w:eastAsia="Arial" w:hAnsi="Arial"/>
          <w:b/>
          <w:bCs/>
          <w:color w:val="3FA6C9"/>
          <w:sz w:val="56"/>
          <w:szCs w:val="56"/>
        </w:rPr>
        <w:t xml:space="preserve">Data-Readiness Specification</w:t>
      </w:r>
    </w:p>
    <w:p>
      <w:pPr>
        <w:spacing w:after="200"/>
      </w:pPr>
    </w:p>
    <w:p>
      <w:pPr>
        <w:pBdr>
          <w:top w:val="single" w:color="3FA6C9" w:sz="6" w:space="8"/>
        </w:pBdr>
        <w:spacing w:after="80" w:before="100"/>
      </w:pPr>
      <w:r>
        <w:rPr>
          <w:rFonts w:ascii="Arial" w:cs="Arial" w:eastAsia="Arial" w:hAnsi="Arial"/>
          <w:i/>
          <w:iCs/>
          <w:color w:val="6B7B8D"/>
          <w:sz w:val="24"/>
          <w:szCs w:val="24"/>
        </w:rPr>
        <w:t xml:space="preserve">Specific design decisions for the v1 MVP that make the platform better for users today while creating the structural preconditions for data value in every subsequent phase — without adding scope, without betraying privacy, and without building anything that does not serve the homeowner first.</w:t>
      </w:r>
    </w:p>
    <w:p>
      <w:pPr>
        <w:spacing w:after="1600"/>
      </w:pPr>
    </w:p>
    <w:p>
      <w:r>
        <w:rPr>
          <w:rFonts w:ascii="Arial" w:cs="Arial" w:eastAsia="Arial" w:hAnsi="Arial"/>
          <w:color w:val="6B7B8D"/>
          <w:sz w:val="20"/>
          <w:szCs w:val="20"/>
        </w:rPr>
        <w:t xml:space="preserve">CONFIDENTIAL — NexSys Internal</w:t>
      </w:r>
    </w:p>
    <w:p>
      <w:r>
        <w:rPr>
          <w:rFonts w:ascii="Arial" w:cs="Arial" w:eastAsia="Arial" w:hAnsi="Arial"/>
          <w:color w:val="6B7B8D"/>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Executive Context</w:t>
      </w:r>
    </w:p>
    <w:p>
      <w:pPr>
        <w:spacing w:after="180" w:before="0" w:line="276"/>
        <w:jc w:val="both"/>
      </w:pPr>
      <w:r>
        <w:rPr>
          <w:rFonts w:ascii="Arial" w:cs="Arial" w:eastAsia="Arial" w:hAnsi="Arial"/>
          <w:color w:val="1A1A2E"/>
          <w:sz w:val="22"/>
          <w:szCs w:val="22"/>
        </w:rPr>
        <w:t xml:space="preserve">This document specifies the exact design decisions that must be embedded in the HomeSynapse v1 MVP — the version being built over the next 12 to 24 months as the founder finishes college and transitions to full-time development — to ensure the platform is structurally ready for data value creation in subsequent phases. It is not a strategy document. It is a technical specification of what the MVP must contain, why each element matters, and what happens if it is omitted.</w:t>
      </w:r>
    </w:p>
    <w:p>
      <w:pPr>
        <w:spacing w:after="180" w:before="0" w:line="276"/>
        <w:jc w:val="both"/>
      </w:pPr>
      <w:r>
        <w:rPr>
          <w:rFonts w:ascii="Arial" w:cs="Arial" w:eastAsia="Arial" w:hAnsi="Arial"/>
          <w:color w:val="1A1A2E"/>
          <w:sz w:val="22"/>
          <w:szCs w:val="22"/>
        </w:rPr>
        <w:t xml:space="preserve">Every specification in this document satisfies two constraints simultaneously. First, it must make HomeSynapse v1 a better product for the user right now — more observable, more reliable, more useful. No design element exists solely to serve future institutional revenue. Second, it must create the structural preconditions for the data value pyramid described in the companion strategy document, so that Phases 2 through 5 do not require architectural rework.</w:t>
      </w:r>
    </w:p>
    <w:p>
      <w:pPr>
        <w:spacing w:after="180" w:before="0" w:line="276"/>
        <w:jc w:val="both"/>
      </w:pPr>
      <w:r>
        <w:rPr>
          <w:rFonts w:ascii="Arial" w:cs="Arial" w:eastAsia="Arial" w:hAnsi="Arial"/>
          <w:b/>
          <w:bCs/>
          <w:color w:val="1A1A2E"/>
          <w:sz w:val="22"/>
          <w:szCs w:val="22"/>
        </w:rPr>
        <w:t xml:space="preserve">The governing principle is simple: instrument everything, monetize nothing, betray no one. </w:t>
      </w:r>
      <w:r>
        <w:rPr>
          <w:rFonts w:ascii="Arial" w:cs="Arial" w:eastAsia="Arial" w:hAnsi="Arial"/>
          <w:color w:val="1A1A2E"/>
          <w:sz w:val="22"/>
          <w:szCs w:val="22"/>
        </w:rPr>
        <w:t xml:space="preserve">The MVP builds the most complete, structured, trustworthy record of home behavior ever created. It does so because event sourcing requires it, because observability demands it, and because the user deserves a system that can answer “why did this happen?” for any event. The fact that this record becomes the substrate for future data products is a consequence of good architecture, not an ulterior motive.</w:t>
      </w:r>
    </w:p>
    <w:p>
      <w:pPr>
        <w:pBdr>
          <w:bottom w:val="single" w:color="3FA6C9" w:sz="4" w:space="8"/>
        </w:pBdr>
        <w:spacing w:after="300" w:before="300"/>
      </w:pPr>
    </w:p>
    <w:p>
      <w:pPr>
        <w:pStyle w:val="Heading1"/>
      </w:pPr>
      <w:r>
        <w:t xml:space="preserve">Section 1: Consent-Scope Categories in the Event Type Taxonomy</w:t>
      </w:r>
    </w:p>
    <w:p>
      <w:pPr>
        <w:pStyle w:val="Heading2"/>
      </w:pPr>
      <w:r>
        <w:t xml:space="preserve">The Problem</w:t>
      </w:r>
    </w:p>
    <w:p>
      <w:pPr>
        <w:spacing w:after="180" w:before="0" w:line="276"/>
        <w:jc w:val="both"/>
      </w:pPr>
      <w:r>
        <w:rPr>
          <w:rFonts w:ascii="Arial" w:cs="Arial" w:eastAsia="Arial" w:hAnsi="Arial"/>
          <w:color w:val="1A1A2E"/>
          <w:sz w:val="22"/>
          <w:szCs w:val="22"/>
        </w:rPr>
        <w:t xml:space="preserve">The event type taxonomy defined in Event Model &amp; Event Bus §4.3 already organizes event types by subject and producer. The namespace convention (core types like state_changed, command_issued, automation_triggered; integration-defined types like zigbee.network_map_updated) is clean and extensible. What the current taxonomy does not include is a consent-scope classification that groups event types into categories suitable for future access-control policies.</w:t>
      </w:r>
    </w:p>
    <w:p>
      <w:pPr>
        <w:spacing w:after="180" w:before="0" w:line="276"/>
        <w:jc w:val="both"/>
      </w:pPr>
      <w:r>
        <w:rPr>
          <w:rFonts w:ascii="Arial" w:cs="Arial" w:eastAsia="Arial" w:hAnsi="Arial"/>
          <w:color w:val="1A1A2E"/>
          <w:sz w:val="22"/>
          <w:szCs w:val="22"/>
        </w:rPr>
        <w:t xml:space="preserve">The Event Model document explicitly acknowledges this future need: “Event categories support scoped access without structural change. The event type namespace is organized so that future access-control policies can grant or restrict access to event categories (energy events, presence events, device events) without requiring event schema modifications.” But acknowledging the need is not the same as implementing the classification. If consent-scope categories are not embedded in the event schema from the MVP, every event recorded before the classification is added will require retroactive categorization — an expensive migration against potentially millions of accumulated events.</w:t>
      </w:r>
    </w:p>
    <w:p>
      <w:pPr>
        <w:pStyle w:val="Heading2"/>
      </w:pPr>
      <w:r>
        <w:t xml:space="preserve">The Specification</w:t>
      </w:r>
    </w:p>
    <w:p>
      <w:pPr>
        <w:spacing w:after="180" w:before="0" w:line="276"/>
        <w:jc w:val="both"/>
      </w:pPr>
      <w:r>
        <w:rPr>
          <w:rFonts w:ascii="Arial" w:cs="Arial" w:eastAsia="Arial" w:hAnsi="Arial"/>
          <w:color w:val="1A1A2E"/>
          <w:sz w:val="22"/>
          <w:szCs w:val="22"/>
        </w:rPr>
        <w:t xml:space="preserve">Add a required event_category field to the event envelope. This field is a string array (one event may belong to multiple categories) populated at event creation time by the producer. The field is indexed in the domain event store for efficient filtered queries.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8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Description and Scope</w:t>
            </w:r>
          </w:p>
        </w:tc>
        <w:tc>
          <w:tcPr>
            <w:tcW w:type="dxa" w:w="236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Example Event Types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device_state</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Light on/off, switch state, plug state, sensor reports (temperature, humidity, illuminance). Non-behavioral device facts.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state_changed, state_reported, command_issued, command_result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energy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Power consumption, solar production, battery state, grid import/export, tariff events, circuit-level readings, telemetry_summary for energy entities.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state_changed (energy entities), telemetry_summary (energy), energy.* namespace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presence</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Person entity state, occupancy detection, arrival/departure, room-level presence, confidence scores.</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state_changed (person/occupancy entities), presence_signal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environmental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Temperature, humidity, air quality, noise level, light level — ambient conditions that characterize the home environment.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state_changed (environmental sensor entities)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Lock state, alarm state, door/window contact sensor events, water leak detection, smoke/CO detection.</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state_changed (security entity types), availability_changed (security entities)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Automation trigger, condition evaluation, action dispatch, completion, error. The behavioral logic layer.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automation_triggered, automation_completed, automation_error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device_health</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Device availability, firmware version, battery level, signal strength, mesh routing, error counts. Operational health of hardware.</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availability_changed, device_discovered, device_removed, integration_health_changed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HomeSynapse lifecycle, configuration changes, backup status, migration events. Platform operational events.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system_started, system_stopping, config_changed, config_error, system_backup_*</w:t>
            </w:r>
          </w:p>
        </w:tc>
      </w:tr>
    </w:tbl>
    <w:p>
      <w:pPr>
        <w:spacing w:after="120"/>
      </w:pPr>
    </w:p>
    <w:p>
      <w:pPr>
        <w:pStyle w:val="Heading2"/>
      </w:pPr>
      <w:r>
        <w:t xml:space="preserve">Why Eight Categories and Not Fewer or More</w:t>
      </w:r>
    </w:p>
    <w:p>
      <w:pPr>
        <w:spacing w:after="180" w:before="0" w:line="276"/>
        <w:jc w:val="both"/>
      </w:pPr>
      <w:r>
        <w:rPr>
          <w:rFonts w:ascii="Arial" w:cs="Arial" w:eastAsia="Arial" w:hAnsi="Arial"/>
          <w:color w:val="1A1A2E"/>
          <w:sz w:val="22"/>
          <w:szCs w:val="22"/>
        </w:rPr>
        <w:t xml:space="preserve">The eight categories map directly to the consent scopes needed by the institutional products: NexSys Grid requires energy. NexSys Assure requires security + device_health. NexSys Care requires presence + environmental + device_state. Population intelligence requires energy + device_health in anonymized aggregate. The categories also align with the crypto-shredding scopes defined in INV-PD-07: presence and energy are the sensitive categories that require per-scope encryption keys, while device_state and system are the non-sensitive categories that do not. This alignment is not coincidental — the consent-scope categories and the crypto-shredding scopes are the same classification viewed from different perspectives (external access vs. internal lifecycle management).</w:t>
      </w:r>
    </w:p>
    <w:p>
      <w:pPr>
        <w:pStyle w:val="Heading2"/>
      </w:pPr>
      <w:r>
        <w:t xml:space="preserve">Implementation Cost in the MVP</w:t>
      </w:r>
    </w:p>
    <w:p>
      <w:pPr>
        <w:spacing w:after="180" w:before="0" w:line="276"/>
        <w:jc w:val="both"/>
      </w:pPr>
      <w:r>
        <w:rPr>
          <w:rFonts w:ascii="Arial" w:cs="Arial" w:eastAsia="Arial" w:hAnsi="Arial"/>
          <w:color w:val="1A1A2E"/>
          <w:sz w:val="22"/>
          <w:szCs w:val="22"/>
        </w:rPr>
        <w:t xml:space="preserve">The implementation cost is minimal. The event_category field is a string array in the JSON event envelope, populated by a static lookup from event_type to categories at event creation time. The lookup table is defined in configuration (not code) so it can be extended without code changes when integration-defined event types are added. A composite index on (event_category, ingest_time) in the domain event store enables efficient filtered-and-time-bounded queries — the exact query pattern the Data Sovereignty API will eventually use. The storage overhead is approximately 15–30 bytes per event (the category strings in JSON). On a 50-device installation generating 50,000 events per day, this adds roughly 1 MB per day — negligible against the existing event payload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A6C9" w:sz="6"/>
              <w:left w:val="single" w:color="3FA6C9" w:sz="6"/>
              <w:bottom w:val="single" w:color="DDDDDD" w:sz="1"/>
              <w:right w:val="single" w:color="DDDDDD" w:sz="1"/>
            </w:tcBorders>
            <w:shd w:fill="F7FBFD" w:val="clear"/>
            <w:tcMar>
              <w:top w:type="dxa" w:w="120"/>
              <w:left w:type="dxa" w:w="200"/>
              <w:bottom w:type="dxa" w:w="120"/>
              <w:right w:type="dxa" w:w="200"/>
            </w:tcMar>
          </w:tcPr>
          <w:p>
            <w:pPr>
              <w:spacing w:after="80"/>
            </w:pPr>
            <w:r>
              <w:rPr>
                <w:rFonts w:ascii="Arial" w:cs="Arial" w:eastAsia="Arial" w:hAnsi="Arial"/>
                <w:b/>
                <w:bCs/>
                <w:color w:val="2F6FA3"/>
                <w:sz w:val="22"/>
                <w:szCs w:val="22"/>
              </w:rPr>
              <w:t xml:space="preserve">FIRST PRINCIPLE CHECK</w:t>
            </w:r>
          </w:p>
          <w:p>
            <w:pPr>
              <w:spacing w:after="0"/>
            </w:pPr>
            <w:r>
              <w:rPr>
                <w:rFonts w:ascii="Arial" w:cs="Arial" w:eastAsia="Arial" w:hAnsi="Arial"/>
                <w:color w:val="1A1A2E"/>
                <w:sz w:val="20"/>
                <w:szCs w:val="20"/>
              </w:rPr>
              <w:t xml:space="preserve">Does this make the MVP better for the user right now? Yes. The event_category field enables the UI to offer filtered event views by domain (“show me all energy events,” “show me all security events”) without building category-specific query logic. The observability dashboard becomes more useful, not less. The user benefits immediately. The future data value benefit is structural, not visible.</w:t>
            </w:r>
          </w:p>
        </w:tc>
      </w:tr>
    </w:tbl>
    <w:p>
      <w:pPr>
        <w:pBdr>
          <w:bottom w:val="single" w:color="3FA6C9" w:sz="4" w:space="8"/>
        </w:pBdr>
        <w:spacing w:after="300" w:before="300"/>
      </w:pPr>
    </w:p>
    <w:p>
      <w:pPr>
        <w:pStyle w:val="Heading1"/>
      </w:pPr>
      <w:r>
        <w:t xml:space="preserve">Section 2: Standardized Aggregate Output Formats</w:t>
      </w:r>
    </w:p>
    <w:p>
      <w:pPr>
        <w:pStyle w:val="Heading2"/>
      </w:pPr>
      <w:r>
        <w:t xml:space="preserve">The Problem</w:t>
      </w:r>
    </w:p>
    <w:p>
      <w:pPr>
        <w:spacing w:after="180" w:before="0" w:line="276"/>
        <w:jc w:val="both"/>
      </w:pPr>
      <w:r>
        <w:rPr>
          <w:rFonts w:ascii="Arial" w:cs="Arial" w:eastAsia="Arial" w:hAnsi="Arial"/>
          <w:color w:val="1A1A2E"/>
          <w:sz w:val="22"/>
          <w:szCs w:val="22"/>
        </w:rPr>
        <w:t xml:space="preserve">The persistence layer’s aggregation engine already produces telemetry_summary events from high-frequency telemetry data. These summaries carry min, max, mean, sum, count, period_start, period_end, and a partial flag. This is correct for the immediate purpose (promoting telemetry to the domain event path) but insufficient for future institutional consumption.</w:t>
      </w:r>
    </w:p>
    <w:p>
      <w:pPr>
        <w:spacing w:after="180" w:before="0" w:line="276"/>
        <w:jc w:val="both"/>
      </w:pPr>
      <w:r>
        <w:rPr>
          <w:rFonts w:ascii="Arial" w:cs="Arial" w:eastAsia="Arial" w:hAnsi="Arial"/>
          <w:color w:val="1A1A2E"/>
          <w:sz w:val="22"/>
          <w:szCs w:val="22"/>
        </w:rPr>
        <w:t xml:space="preserve">Institutional products need standardized aggregate formats at multiple temporal resolutions: hourly for energy dashboards and real-time grid optimization, daily for insurance attestation inputs and care monitoring baselines, weekly for care monitoring trend reports, and monthly for regulatory compliance and billing. If these aggregation tiers are not built into the MVP’s aggregation engine, they must be retrofitted later — which means either replaying the entire event log to regenerate aggregates (expensive and slow on Raspberry Pi hardware) or accepting that pre-aggregation-era data is unavailable at the needed resolutions.</w:t>
      </w:r>
    </w:p>
    <w:p>
      <w:pPr>
        <w:pStyle w:val="Heading2"/>
      </w:pPr>
      <w:r>
        <w:t xml:space="preserve">The Specification</w:t>
      </w:r>
    </w:p>
    <w:p>
      <w:pPr>
        <w:spacing w:after="180" w:before="0" w:line="276"/>
        <w:jc w:val="both"/>
      </w:pPr>
      <w:r>
        <w:rPr>
          <w:rFonts w:ascii="Arial" w:cs="Arial" w:eastAsia="Arial" w:hAnsi="Arial"/>
          <w:color w:val="1A1A2E"/>
          <w:sz w:val="22"/>
          <w:szCs w:val="22"/>
        </w:rPr>
        <w:t xml:space="preserve">Extend the aggregation engine to produce multi-tier summary events alongside the existing telemetry_summary output. The aggregation engine already wakes on a configurable interval (default 5 minutes). Add three additional aggregation tiers that run on their own schedules: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00"/>
        <w:gridCol w:w="3160"/>
      </w:tblGrid>
      <w:tr>
        <w:tc>
          <w:tcPr>
            <w:tcW w:type="dxa" w:w="15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2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Payload Contents</w:t>
            </w:r>
          </w:p>
        </w:tc>
        <w:tc>
          <w:tcPr>
            <w:tcW w:type="dxa" w:w="316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Future Consumer</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Hourly</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Top of each hour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Per-entity energy consumption/production, environmental averages (temp, humidity), device availability percentage, automation execution count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Energy dashboard trend charts, real-time grid capacity reporting, hourly environmental baseline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00:00 local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hourly fields aggregated to daily. Plus: device uptime percentage, sensor gap count, peak/trough energy values with timestamps, count of anomaly events by category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Insurance attestation input, care monitoring daily baseline, home health score calculation</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Weekly</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Sunday 00:00 local</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All daily fields aggregated to weekly. Plus: week-over-week trend direction (increasing/decreasing/stable) for energy and environmental readings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Care monitoring weekly report, energy trend analysis, device reliability trending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1st of month 00:00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weekly fields aggregated to monthly. Plus: total energy cost estimate (if tariff data available), monthly device reliability score, seasonal comparison metadata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Regulatory compliance, billing reconciliation, property intelligence inputs</w:t>
            </w:r>
          </w:p>
        </w:tc>
      </w:tr>
    </w:tbl>
    <w:p>
      <w:pPr>
        <w:spacing w:after="120"/>
      </w:pPr>
    </w:p>
    <w:p>
      <w:pPr>
        <w:spacing w:after="180" w:before="0" w:line="276"/>
        <w:jc w:val="both"/>
      </w:pPr>
      <w:r>
        <w:rPr>
          <w:rFonts w:ascii="Arial" w:cs="Arial" w:eastAsia="Arial" w:hAnsi="Arial"/>
          <w:color w:val="1A1A2E"/>
          <w:sz w:val="22"/>
          <w:szCs w:val="22"/>
        </w:rPr>
        <w:t xml:space="preserve">Each tier produces domain events at DIAGNOSTIC priority (consistent with existing telemetry_summary behavior) with event types: aggregate_hourly, aggregate_daily, aggregate_weekly, aggregate_monthly. These events flow through the standard event bus and are subject to standard retention policies. Because they are DIAGNOSTIC priority with the default 7-day retention, the aggregation engine must also maintain a separate aggregates table in the domain event store that retains aggregate records beyond the event retention window:</w:t>
      </w:r>
    </w:p>
    <w:p>
      <w:pPr>
        <w:spacing w:after="60"/>
      </w:pPr>
    </w:p>
    <w:p>
      <w:pPr>
        <w:spacing w:after="120" w:before="0" w:line="276"/>
        <w:jc w:val="left"/>
      </w:pPr>
      <w:r>
        <w:rPr>
          <w:rFonts w:ascii="JetBrains Mono NL" w:cs="JetBrains Mono NL" w:eastAsia="JetBrains Mono NL" w:hAnsi="JetBrains Mono NL"/>
          <w:color w:val="1A1A2E"/>
          <w:sz w:val="18"/>
          <w:szCs w:val="18"/>
        </w:rPr>
        <w:t xml:space="preserve">CREATE TABLE aggregates (
  entity_ref BLOB(16) NOT NULL,
  attribute_key TEXT NOT NULL,
  tier TEXT NOT NULL, -- 'hourly', 'daily', 'weekly', 'monthly'
  period_start INTEGER NOT NULL, -- Unix microseconds
  period_end INTEGER NOT NULL,
  payload TEXT NOT NULL, -- JSON aggregate payload
  PRIMARY KEY (entity_ref, attribute_key, tier, period_start)
);</w:t>
      </w:r>
    </w:p>
    <w:p>
      <w:pPr>
        <w:spacing w:after="180" w:before="0" w:line="276"/>
        <w:jc w:val="both"/>
      </w:pPr>
      <w:r>
        <w:rPr>
          <w:rFonts w:ascii="Arial" w:cs="Arial" w:eastAsia="Arial" w:hAnsi="Arial"/>
          <w:color w:val="1A1A2E"/>
          <w:sz w:val="22"/>
          <w:szCs w:val="22"/>
        </w:rPr>
        <w:t xml:space="preserve">Retention for the aggregates table is independent of event retention: hourly aggregates retained for 90 days, daily for 2 years, weekly for 5 years, monthly indefinitely. This creates a temporally layered data pyramid where raw telemetry lives for minutes, 5-minute summaries live for 7 days, hourly aggregates live for 90 days, and daily/weekly/monthly aggregates persist for the life of the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A6C9" w:sz="6"/>
              <w:left w:val="single" w:color="3FA6C9" w:sz="6"/>
              <w:bottom w:val="single" w:color="DDDDDD" w:sz="1"/>
              <w:right w:val="single" w:color="DDDDDD" w:sz="1"/>
            </w:tcBorders>
            <w:shd w:fill="F7FBFD" w:val="clear"/>
            <w:tcMar>
              <w:top w:type="dxa" w:w="120"/>
              <w:left w:type="dxa" w:w="200"/>
              <w:bottom w:type="dxa" w:w="120"/>
              <w:right w:type="dxa" w:w="200"/>
            </w:tcMar>
          </w:tcPr>
          <w:p>
            <w:pPr>
              <w:spacing w:after="80"/>
            </w:pPr>
            <w:r>
              <w:rPr>
                <w:rFonts w:ascii="Arial" w:cs="Arial" w:eastAsia="Arial" w:hAnsi="Arial"/>
                <w:b/>
                <w:bCs/>
                <w:color w:val="2F6FA3"/>
                <w:sz w:val="22"/>
                <w:szCs w:val="22"/>
              </w:rPr>
              <w:t xml:space="preserve">FIRST PRINCIPLE CHECK</w:t>
            </w:r>
          </w:p>
          <w:p>
            <w:pPr>
              <w:spacing w:after="0"/>
            </w:pPr>
            <w:r>
              <w:rPr>
                <w:rFonts w:ascii="Arial" w:cs="Arial" w:eastAsia="Arial" w:hAnsi="Arial"/>
                <w:color w:val="1A1A2E"/>
                <w:sz w:val="20"/>
                <w:szCs w:val="20"/>
              </w:rPr>
              <w:t xml:space="preserve">Does this make the MVP better for the user right now? Yes. Multi-tier aggregates power the energy dashboard’s trend charts (“Show me my energy consumption by day for the last 3 months”). Without them, the dashboard can only show data within the 7-day DIAGNOSTIC retention window. The aggregates table is what makes historical energy analysis possible on constrained hardware without retaining millions of raw events. This is a direct user-facing feature, not a future-proofing exercise.</w:t>
            </w:r>
          </w:p>
        </w:tc>
      </w:tr>
    </w:tbl>
    <w:p>
      <w:pPr>
        <w:pBdr>
          <w:bottom w:val="single" w:color="3FA6C9" w:sz="4" w:space="8"/>
        </w:pBdr>
        <w:spacing w:after="300" w:before="300"/>
      </w:pPr>
    </w:p>
    <w:p>
      <w:pPr>
        <w:pStyle w:val="Heading1"/>
      </w:pPr>
      <w:r>
        <w:t xml:space="preserve">Section 3: Home Health Scoring Model</w:t>
      </w:r>
    </w:p>
    <w:p>
      <w:pPr>
        <w:pStyle w:val="Heading2"/>
      </w:pPr>
      <w:r>
        <w:t xml:space="preserve">The Problem</w:t>
      </w:r>
    </w:p>
    <w:p>
      <w:pPr>
        <w:spacing w:after="180" w:before="0" w:line="276"/>
        <w:jc w:val="both"/>
      </w:pPr>
      <w:r>
        <w:rPr>
          <w:rFonts w:ascii="Arial" w:cs="Arial" w:eastAsia="Arial" w:hAnsi="Arial"/>
          <w:color w:val="1A1A2E"/>
          <w:sz w:val="22"/>
          <w:szCs w:val="22"/>
        </w:rPr>
        <w:t xml:space="preserve">No consumer smart home platform provides a single, transparent, composite metric for the operational health of the home. Users discover device failures through symptoms (an automation stops working, a room feels cold) rather than through proactive monitoring. The observability dashboard shows individual device states, but synthesizing “is my home healthy?” requires manual inspection of dozens of entities.</w:t>
      </w:r>
    </w:p>
    <w:p>
      <w:pPr>
        <w:spacing w:after="180" w:before="0" w:line="276"/>
        <w:jc w:val="both"/>
      </w:pPr>
      <w:r>
        <w:rPr>
          <w:rFonts w:ascii="Arial" w:cs="Arial" w:eastAsia="Arial" w:hAnsi="Arial"/>
          <w:color w:val="1A1A2E"/>
          <w:sz w:val="22"/>
          <w:szCs w:val="22"/>
        </w:rPr>
        <w:t xml:space="preserve">A composite home health score, built from data already collected by the MVP, serves both the user (a single glance tells them if anything needs attention) and the future institutional products (insurance attestation requires device operational status; property intelligence requires documented home health history). Building the scoring model into the MVP means it runs from day one, producing a continuous health record that appreciates in value with every month of operation.</w:t>
      </w:r>
    </w:p>
    <w:p>
      <w:pPr>
        <w:pStyle w:val="Heading2"/>
      </w:pPr>
      <w:r>
        <w:t xml:space="preserve">The Specification</w:t>
      </w:r>
    </w:p>
    <w:p>
      <w:pPr>
        <w:spacing w:after="180" w:before="0" w:line="276"/>
        <w:jc w:val="both"/>
      </w:pPr>
      <w:r>
        <w:rPr>
          <w:rFonts w:ascii="Arial" w:cs="Arial" w:eastAsia="Arial" w:hAnsi="Arial"/>
          <w:color w:val="1A1A2E"/>
          <w:sz w:val="22"/>
          <w:szCs w:val="22"/>
        </w:rPr>
        <w:t xml:space="preserve">Implement a Home Health Score as a materialized view subscriber that consumes availability_changed, state_reported (battery level), device_health events, and environmental sensor readings. The score is a 0–100 integer updated on every relevant event, with transparent component breakdown: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96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Device Availability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40%</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Percentage of registered devices currently online and reporting. Each device contributes equally. A home with 50 devices where 48 are online scores 96% on this component → 38.4 points. Devices offline for more than 24 hours are weighted more heavily.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Sensor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Are the critical sensor categories present and operational? Categories: temperature (at least 1), humidity (at least 1), motion (at least 1 per occupied area), contact (at least 1 on primary entry), energy monitor (at least 1 whole-home). Each present-and-operational category contributes equally within this component.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Battery Health</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Average battery level across all battery-powered devices, with exponential penalty below 20%. A home where all batteries are above 50% scores full points. A single device at 5% significantly degrades this component.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Environmental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Are environmental readings within normal ranges? Temperature 60–80°F, humidity 30–60%, CO/smoke clear. Each out-of-range reading deducts points proportionally to severity.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System Stability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Integration crash count in last 24 hours, automation error rate, event bus backpressure events. A system with zero integration crashes and zero automation errors in the last 24 hours scores full points.</w:t>
            </w:r>
          </w:p>
        </w:tc>
      </w:tr>
    </w:tbl>
    <w:p>
      <w:pPr>
        <w:spacing w:after="120"/>
      </w:pPr>
    </w:p>
    <w:p>
      <w:pPr>
        <w:spacing w:after="180" w:before="0" w:line="276"/>
        <w:jc w:val="both"/>
      </w:pPr>
      <w:r>
        <w:rPr>
          <w:rFonts w:ascii="Arial" w:cs="Arial" w:eastAsia="Arial" w:hAnsi="Arial"/>
          <w:color w:val="1A1A2E"/>
          <w:sz w:val="22"/>
          <w:szCs w:val="22"/>
        </w:rPr>
        <w:t xml:space="preserve">The health score is recorded as a state_changed event on a virtual entity (entity type: home_health, entity_id: home.health) whenever the score changes by more than 2 points or at least once per hour. The event payload includes the composite score and all component scores. This creates a queryable health history in the event log from the moment the MVP is installed.</w:t>
      </w:r>
    </w:p>
    <w:p>
      <w:pPr>
        <w:spacing w:after="180" w:before="0" w:line="276"/>
        <w:jc w:val="both"/>
      </w:pPr>
      <w:r>
        <w:rPr>
          <w:rFonts w:ascii="Arial" w:cs="Arial" w:eastAsia="Arial" w:hAnsi="Arial"/>
          <w:color w:val="1A1A2E"/>
          <w:sz w:val="22"/>
          <w:szCs w:val="22"/>
        </w:rPr>
        <w:t xml:space="preserve">The daily aggregate (Section 2) includes the daily min, max, and mean health score. Over 12 months, this produces a documented health trajectory that is the raw material for insurance attestation (NexSys Assure) and property intelligence (the unified home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A6C9" w:sz="6"/>
              <w:left w:val="single" w:color="3FA6C9" w:sz="6"/>
              <w:bottom w:val="single" w:color="DDDDDD" w:sz="1"/>
              <w:right w:val="single" w:color="DDDDDD" w:sz="1"/>
            </w:tcBorders>
            <w:shd w:fill="F7FBFD" w:val="clear"/>
            <w:tcMar>
              <w:top w:type="dxa" w:w="120"/>
              <w:left w:type="dxa" w:w="200"/>
              <w:bottom w:type="dxa" w:w="120"/>
              <w:right w:type="dxa" w:w="200"/>
            </w:tcMar>
          </w:tcPr>
          <w:p>
            <w:pPr>
              <w:spacing w:after="80"/>
            </w:pPr>
            <w:r>
              <w:rPr>
                <w:rFonts w:ascii="Arial" w:cs="Arial" w:eastAsia="Arial" w:hAnsi="Arial"/>
                <w:b/>
                <w:bCs/>
                <w:color w:val="2F6FA3"/>
                <w:sz w:val="22"/>
                <w:szCs w:val="22"/>
              </w:rPr>
              <w:t xml:space="preserve">FIRST PRINCIPLE CHECK</w:t>
            </w:r>
          </w:p>
          <w:p>
            <w:pPr>
              <w:spacing w:after="0"/>
            </w:pPr>
            <w:r>
              <w:rPr>
                <w:rFonts w:ascii="Arial" w:cs="Arial" w:eastAsia="Arial" w:hAnsi="Arial"/>
                <w:color w:val="1A1A2E"/>
                <w:sz w:val="20"/>
                <w:szCs w:val="20"/>
              </w:rPr>
              <w:t xml:space="preserve">Does this make the MVP better for the user right now? Substantially. The health score is the single most useful number on the dashboard. “Your home health is 94 — 1 device offline, all sensors operational.” It transforms HomeSynapse from a device control platform into a home monitoring platform. The event trace for the health entity answers “what changed and when?” — the core explainability promise. This is a flagship user-facing feature that also happens to be the foundation of future institutional products.</w:t>
            </w:r>
          </w:p>
        </w:tc>
      </w:tr>
    </w:tbl>
    <w:p>
      <w:pPr>
        <w:pBdr>
          <w:bottom w:val="single" w:color="3FA6C9" w:sz="4" w:space="8"/>
        </w:pBdr>
        <w:spacing w:after="300" w:before="300"/>
      </w:pPr>
    </w:p>
    <w:p>
      <w:pPr>
        <w:pStyle w:val="Heading1"/>
      </w:pPr>
      <w:r>
        <w:t xml:space="preserve">Section 4: Energy-First Data Pipeline Design</w:t>
      </w:r>
    </w:p>
    <w:p>
      <w:pPr>
        <w:pStyle w:val="Heading2"/>
      </w:pPr>
      <w:r>
        <w:t xml:space="preserve">The Strategic Context</w:t>
      </w:r>
    </w:p>
    <w:p>
      <w:pPr>
        <w:spacing w:after="180" w:before="0" w:line="276"/>
        <w:jc w:val="both"/>
      </w:pPr>
      <w:r>
        <w:rPr>
          <w:rFonts w:ascii="Arial" w:cs="Arial" w:eastAsia="Arial" w:hAnsi="Arial"/>
          <w:color w:val="1A1A2E"/>
          <w:sz w:val="22"/>
          <w:szCs w:val="22"/>
        </w:rPr>
        <w:t xml:space="preserve">The locked decision to make energy monitoring the first-run experience is the single most important data strategy decision in the entire HomeSynapse roadmap. Energy data is the highest-value, fastest-growing data stream available to a residential platform. The HEMS market is growing at 17.7% CAGR to $20.4 billion by 2035. Bidgely quadrupled its grid product revenue in 2024 selling utility analytics derived from energy disaggregation. The VPP market is at an inflection point with DOE projecting 160 GW by 2030. And energy data is the beachhead for every institutional product: utilities buy energy data for grid planning, insurers correlate energy patterns with risk, and healthcare providers use energy patterns as a proxy for daily activity.</w:t>
      </w:r>
    </w:p>
    <w:p>
      <w:pPr>
        <w:spacing w:after="180" w:before="0" w:line="276"/>
        <w:jc w:val="both"/>
      </w:pPr>
      <w:r>
        <w:rPr>
          <w:rFonts w:ascii="Arial" w:cs="Arial" w:eastAsia="Arial" w:hAnsi="Arial"/>
          <w:color w:val="1A1A2E"/>
          <w:sz w:val="22"/>
          <w:szCs w:val="22"/>
        </w:rPr>
        <w:t xml:space="preserve">The MVP ships with Zigbee support, which covers smart plugs with power monitoring (Zigbee plugs from Sonoff, Ikea, and others report instantaneous power, accumulated energy, voltage, and current). This means the Tier 1 MVP, before any energy-specific protocol work in Tier 2, already generates energy telemetry from day one through standard Zigbee smart plugs on individual circuits or appliances.</w:t>
      </w:r>
    </w:p>
    <w:p>
      <w:pPr>
        <w:pStyle w:val="Heading2"/>
      </w:pPr>
      <w:r>
        <w:t xml:space="preserve">The Specification</w:t>
      </w:r>
    </w:p>
    <w:p>
      <w:pPr>
        <w:spacing w:after="180" w:before="0" w:line="276"/>
        <w:jc w:val="both"/>
      </w:pPr>
      <w:r>
        <w:rPr>
          <w:rFonts w:ascii="Arial" w:cs="Arial" w:eastAsia="Arial" w:hAnsi="Arial"/>
          <w:color w:val="1A1A2E"/>
          <w:sz w:val="22"/>
          <w:szCs w:val="22"/>
        </w:rPr>
        <w:t xml:space="preserve">The energy data pipeline in the MVP must handle two distinct data paths that already exist in the architecture:</w:t>
      </w:r>
    </w:p>
    <w:p>
      <w:pPr>
        <w:spacing w:after="180" w:before="0" w:line="276"/>
        <w:jc w:val="both"/>
      </w:pPr>
      <w:r>
        <w:rPr>
          <w:rFonts w:ascii="Arial" w:cs="Arial" w:eastAsia="Arial" w:hAnsi="Arial"/>
          <w:b/>
          <w:bCs/>
          <w:color w:val="1A1A2E"/>
          <w:sz w:val="22"/>
          <w:szCs w:val="22"/>
        </w:rPr>
        <w:t xml:space="preserve">Path 1: Low-frequency energy state events (domain path). </w:t>
      </w:r>
      <w:r>
        <w:rPr>
          <w:rFonts w:ascii="Arial" w:cs="Arial" w:eastAsia="Arial" w:hAnsi="Arial"/>
          <w:color w:val="1A1A2E"/>
          <w:sz w:val="22"/>
          <w:szCs w:val="22"/>
        </w:rPr>
        <w:t xml:space="preserve">Smart plugs reporting every 30–60 seconds produce state_reported events with power_measurement capability values (instantaneous_power, accumulated_energy, voltage, current). These flow through the standard event bus at DIAGNOSTIC priority. At 10 plugs reporting every 30 seconds, this is 28,800 events per day — well within the domain path capacity. Each event carries the energy consent-scope category.</w:t>
      </w:r>
    </w:p>
    <w:p>
      <w:pPr>
        <w:spacing w:after="180" w:before="0" w:line="276"/>
        <w:jc w:val="both"/>
      </w:pPr>
      <w:r>
        <w:rPr>
          <w:rFonts w:ascii="Arial" w:cs="Arial" w:eastAsia="Arial" w:hAnsi="Arial"/>
          <w:b/>
          <w:bCs/>
          <w:color w:val="1A1A2E"/>
          <w:sz w:val="22"/>
          <w:szCs w:val="22"/>
        </w:rPr>
        <w:t xml:space="preserve">Path 2: High-frequency energy telemetry (telemetry path). </w:t>
      </w:r>
      <w:r>
        <w:rPr>
          <w:rFonts w:ascii="Arial" w:cs="Arial" w:eastAsia="Arial" w:hAnsi="Arial"/>
          <w:color w:val="1A1A2E"/>
          <w:sz w:val="22"/>
          <w:szCs w:val="22"/>
        </w:rPr>
        <w:t xml:space="preserve">When whole-home energy monitors are added in Tier 2 (via MQTT, Modbus, or HTTP integrations), per-second readings from 8+ circuits generate 691,200+ samples per day. These flow through the telemetry ring store with the 5-minute aggregation cycle producing telemetry_summary events. The MVP must design the telemetry pipeline to accommodate this rate even if Tier 1 does not generate it, because the pipeline architecture cannot be safely changed under load.</w:t>
      </w:r>
    </w:p>
    <w:p>
      <w:pPr>
        <w:spacing w:after="180" w:before="0" w:line="276"/>
        <w:jc w:val="both"/>
      </w:pPr>
      <w:r>
        <w:rPr>
          <w:rFonts w:ascii="Arial" w:cs="Arial" w:eastAsia="Arial" w:hAnsi="Arial"/>
          <w:color w:val="1A1A2E"/>
          <w:sz w:val="22"/>
          <w:szCs w:val="22"/>
        </w:rPr>
        <w:t xml:space="preserve">For the MVP, the critical design requirement is the energy entity template. Every device that reports power consumption must be modeled with a standardized set of capability attributes: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5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0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Typical Sources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instantaneous_power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Watts (W)</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Real-time power draw</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Smart plug, whole-home monitor, circuit monitor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accumulated_energy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Watt-hours (Wh)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Cumulative consumption since last reset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Smart plug, utility meter, inverter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voltage</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Volts (V)</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Line voltage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Smart plug, whole-home monitor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Amperes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Current draw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Smart plug, circuit monitor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power_factor</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Ratio (0–1)</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Real vs. apparent power ratio</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Whole-home monitor, industrial sensors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energy_direction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import/export/bidirectional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Inverter, battery, grid meter</w:t>
            </w:r>
          </w:p>
        </w:tc>
      </w:tr>
    </w:tbl>
    <w:p>
      <w:pPr>
        <w:spacing w:after="120"/>
      </w:pPr>
    </w:p>
    <w:p>
      <w:pPr>
        <w:spacing w:after="180" w:before="0" w:line="276"/>
        <w:jc w:val="both"/>
      </w:pPr>
      <w:r>
        <w:rPr>
          <w:rFonts w:ascii="Arial" w:cs="Arial" w:eastAsia="Arial" w:hAnsi="Arial"/>
          <w:color w:val="1A1A2E"/>
          <w:sz w:val="22"/>
          <w:szCs w:val="22"/>
        </w:rPr>
        <w:t xml:space="preserve">The standardization of these attributes means that when Tier 2 adds whole-home energy monitors, inverters, and batteries, the aggregation engine, the energy dashboard, the home health score, and all future institutional products consume the same capability attributes through the same interfaces. A Zigbee smart plug and a Modbus inverter produce identical energy events at the semantic layer.</w:t>
      </w:r>
    </w:p>
    <w:p>
      <w:pPr>
        <w:spacing w:after="180" w:before="0" w:line="276"/>
        <w:jc w:val="both"/>
      </w:pPr>
      <w:r>
        <w:rPr>
          <w:rFonts w:ascii="Arial" w:cs="Arial" w:eastAsia="Arial" w:hAnsi="Arial"/>
          <w:color w:val="1A1A2E"/>
          <w:sz w:val="22"/>
          <w:szCs w:val="22"/>
        </w:rPr>
        <w:t xml:space="preserve">The hourly and daily aggregate outputs (Section 2) for energy entities must include: total consumption (Wh), total production (Wh, if applicable), net import/export, peak power with timestamp, cost estimate (if tariff data is available from user configuration), and self-consumption ratio (production consumed locally vs. exported). These aggregate fields are the exact inputs that NexSys Grid requires for VPP capacity estimation and that NexSys Assure requires for energy efficiency attestation.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A6C9" w:sz="6"/>
              <w:left w:val="single" w:color="3FA6C9" w:sz="6"/>
              <w:bottom w:val="single" w:color="DDDDDD" w:sz="1"/>
              <w:right w:val="single" w:color="DDDDDD" w:sz="1"/>
            </w:tcBorders>
            <w:shd w:fill="F7FBFD" w:val="clear"/>
            <w:tcMar>
              <w:top w:type="dxa" w:w="120"/>
              <w:left w:type="dxa" w:w="200"/>
              <w:bottom w:type="dxa" w:w="120"/>
              <w:right w:type="dxa" w:w="200"/>
            </w:tcMar>
          </w:tcPr>
          <w:p>
            <w:pPr>
              <w:spacing w:after="80"/>
            </w:pPr>
            <w:r>
              <w:rPr>
                <w:rFonts w:ascii="Arial" w:cs="Arial" w:eastAsia="Arial" w:hAnsi="Arial"/>
                <w:b/>
                <w:bCs/>
                <w:color w:val="2F6FA3"/>
                <w:sz w:val="22"/>
                <w:szCs w:val="22"/>
              </w:rPr>
              <w:t xml:space="preserve">FIRST PRINCIPLE CHECK</w:t>
            </w:r>
          </w:p>
          <w:p>
            <w:pPr>
              <w:spacing w:after="0"/>
            </w:pPr>
            <w:r>
              <w:rPr>
                <w:rFonts w:ascii="Arial" w:cs="Arial" w:eastAsia="Arial" w:hAnsi="Arial"/>
                <w:color w:val="1A1A2E"/>
                <w:sz w:val="20"/>
                <w:szCs w:val="20"/>
              </w:rPr>
              <w:t xml:space="preserve">Does this make the MVP better for the user right now? The energy-first experience is already a locked decision. This specification ensures that the energy data collected from day one is structured in a way that powers the energy dashboard, the home health score, and the historical trend analysis. A user with 10 smart plugs monitoring their major appliances sees “Your kitchen consumed 847 Wh today, 23% above your weekly average” on the dashboard. That is a feature. The fact that the same structured data later feeds VPP enrollment and insurance attestation is architectural leverage, not scope creep.</w:t>
            </w:r>
          </w:p>
        </w:tc>
      </w:tr>
    </w:tbl>
    <w:p>
      <w:pPr>
        <w:pBdr>
          <w:bottom w:val="single" w:color="3FA6C9" w:sz="4" w:space="8"/>
        </w:pBdr>
        <w:spacing w:after="300" w:before="300"/>
      </w:pPr>
    </w:p>
    <w:p>
      <w:pPr>
        <w:pStyle w:val="Heading1"/>
      </w:pPr>
      <w:r>
        <w:t xml:space="preserve">Section 5: Device Reliability Corpus</w:t>
      </w:r>
    </w:p>
    <w:p>
      <w:pPr>
        <w:pStyle w:val="Heading2"/>
      </w:pPr>
      <w:r>
        <w:t xml:space="preserve">The Problem</w:t>
      </w:r>
    </w:p>
    <w:p>
      <w:pPr>
        <w:spacing w:after="180" w:before="0" w:line="276"/>
        <w:jc w:val="both"/>
      </w:pPr>
      <w:r>
        <w:rPr>
          <w:rFonts w:ascii="Arial" w:cs="Arial" w:eastAsia="Arial" w:hAnsi="Arial"/>
          <w:color w:val="1A1A2E"/>
          <w:sz w:val="22"/>
          <w:szCs w:val="22"/>
        </w:rPr>
        <w:t xml:space="preserve">The device model already tracks availability_changed events for every device. When a Zigbee device stops responding and the integration marks it offline, an availability_changed event is recorded. When it recovers, another event is recorded. These events exist. But the MVP does not, by default, compute the metrics that transform raw availability events into actionable intelligence: mean time between failures per device model, failure correlation with environmental conditions, firmware version correlation with stability, and battery discharge curves that predict replacement need.</w:t>
      </w:r>
    </w:p>
    <w:p>
      <w:pPr>
        <w:pStyle w:val="Heading2"/>
      </w:pPr>
      <w:r>
        <w:t xml:space="preserve">The Specification</w:t>
      </w:r>
    </w:p>
    <w:p>
      <w:pPr>
        <w:spacing w:after="180" w:before="0" w:line="276"/>
        <w:jc w:val="both"/>
      </w:pPr>
      <w:r>
        <w:rPr>
          <w:rFonts w:ascii="Arial" w:cs="Arial" w:eastAsia="Arial" w:hAnsi="Arial"/>
          <w:color w:val="1A1A2E"/>
          <w:sz w:val="22"/>
          <w:szCs w:val="22"/>
        </w:rPr>
        <w:t xml:space="preserve">Implement a Device Reliability Projection as a materialized view subscriber that consumes availability_changed, state_reported (battery level), and device_discovered events. For each registered device, the projection maintains:</w:t>
      </w:r>
    </w:p>
    <w:p>
      <w:pPr>
        <w:spacing w:after="180" w:before="0" w:line="276"/>
        <w:jc w:val="both"/>
      </w:pPr>
      <w:r>
        <w:rPr>
          <w:rFonts w:ascii="Arial" w:cs="Arial" w:eastAsia="Arial" w:hAnsi="Arial"/>
          <w:b/>
          <w:bCs/>
          <w:color w:val="1A1A2E"/>
          <w:sz w:val="22"/>
          <w:szCs w:val="22"/>
        </w:rPr>
        <w:t xml:space="preserve">uptime_ratio</w:t>
      </w:r>
      <w:r>
        <w:rPr>
          <w:rFonts w:ascii="Arial" w:cs="Arial" w:eastAsia="Arial" w:hAnsi="Arial"/>
          <w:color w:val="1A1A2E"/>
          <w:sz w:val="22"/>
          <w:szCs w:val="22"/>
        </w:rPr>
        <w:t xml:space="preserve"> — percentage of time the device has been online since discovery. </w:t>
      </w:r>
      <w:r>
        <w:rPr>
          <w:rFonts w:ascii="Arial" w:cs="Arial" w:eastAsia="Arial" w:hAnsi="Arial"/>
          <w:b/>
          <w:bCs/>
          <w:color w:val="1A1A2E"/>
          <w:sz w:val="22"/>
          <w:szCs w:val="22"/>
        </w:rPr>
        <w:t xml:space="preserve">mtbf</w:t>
      </w:r>
      <w:r>
        <w:rPr>
          <w:rFonts w:ascii="Arial" w:cs="Arial" w:eastAsia="Arial" w:hAnsi="Arial"/>
          <w:color w:val="1A1A2E"/>
          <w:sz w:val="22"/>
          <w:szCs w:val="22"/>
        </w:rPr>
        <w:t xml:space="preserve"> — mean time between failures (availability transitions from online to offline). </w:t>
      </w:r>
      <w:r>
        <w:rPr>
          <w:rFonts w:ascii="Arial" w:cs="Arial" w:eastAsia="Arial" w:hAnsi="Arial"/>
          <w:b/>
          <w:bCs/>
          <w:color w:val="1A1A2E"/>
          <w:sz w:val="22"/>
          <w:szCs w:val="22"/>
        </w:rPr>
        <w:t xml:space="preserve">failure_count</w:t>
      </w:r>
      <w:r>
        <w:rPr>
          <w:rFonts w:ascii="Arial" w:cs="Arial" w:eastAsia="Arial" w:hAnsi="Arial"/>
          <w:color w:val="1A1A2E"/>
          <w:sz w:val="22"/>
          <w:szCs w:val="22"/>
        </w:rPr>
        <w:t xml:space="preserve"> — total number of offline transitions. </w:t>
      </w:r>
      <w:r>
        <w:rPr>
          <w:rFonts w:ascii="Arial" w:cs="Arial" w:eastAsia="Arial" w:hAnsi="Arial"/>
          <w:b/>
          <w:bCs/>
          <w:color w:val="1A1A2E"/>
          <w:sz w:val="22"/>
          <w:szCs w:val="22"/>
        </w:rPr>
        <w:t xml:space="preserve">last_failure_timestamp</w:t>
      </w:r>
      <w:r>
        <w:rPr>
          <w:rFonts w:ascii="Arial" w:cs="Arial" w:eastAsia="Arial" w:hAnsi="Arial"/>
          <w:color w:val="1A1A2E"/>
          <w:sz w:val="22"/>
          <w:szCs w:val="22"/>
        </w:rPr>
        <w:t xml:space="preserve"> — when the most recent failure occurred. </w:t>
      </w:r>
      <w:r>
        <w:rPr>
          <w:rFonts w:ascii="Arial" w:cs="Arial" w:eastAsia="Arial" w:hAnsi="Arial"/>
          <w:b/>
          <w:bCs/>
          <w:color w:val="1A1A2E"/>
          <w:sz w:val="22"/>
          <w:szCs w:val="22"/>
        </w:rPr>
        <w:t xml:space="preserve">battery_trend</w:t>
      </w:r>
      <w:r>
        <w:rPr>
          <w:rFonts w:ascii="Arial" w:cs="Arial" w:eastAsia="Arial" w:hAnsi="Arial"/>
          <w:color w:val="1A1A2E"/>
          <w:sz w:val="22"/>
          <w:szCs w:val="22"/>
        </w:rPr>
        <w:t xml:space="preserve"> — linear regression slope of battery level over the last 30 days, predicting days until replacement. </w:t>
      </w:r>
      <w:r>
        <w:rPr>
          <w:rFonts w:ascii="Arial" w:cs="Arial" w:eastAsia="Arial" w:hAnsi="Arial"/>
          <w:b/>
          <w:bCs/>
          <w:color w:val="1A1A2E"/>
          <w:sz w:val="22"/>
          <w:szCs w:val="22"/>
        </w:rPr>
        <w:t xml:space="preserve">firmware_version</w:t>
      </w:r>
      <w:r>
        <w:rPr>
          <w:rFonts w:ascii="Arial" w:cs="Arial" w:eastAsia="Arial" w:hAnsi="Arial"/>
          <w:color w:val="1A1A2E"/>
          <w:sz w:val="22"/>
          <w:szCs w:val="22"/>
        </w:rPr>
        <w:t xml:space="preserve"> — current firmware, with change history tracked through device state events.</w:t>
      </w:r>
    </w:p>
    <w:p>
      <w:pPr>
        <w:spacing w:after="180" w:before="0" w:line="276"/>
        <w:jc w:val="both"/>
      </w:pPr>
      <w:r>
        <w:rPr>
          <w:rFonts w:ascii="Arial" w:cs="Arial" w:eastAsia="Arial" w:hAnsi="Arial"/>
          <w:color w:val="1A1A2E"/>
          <w:sz w:val="22"/>
          <w:szCs w:val="22"/>
        </w:rPr>
        <w:t xml:space="preserve">The daily aggregate (Section 2) includes per-device daily uptime percentage and failure count. The home health score (Section 3) consumes the device availability component from this projection.</w:t>
      </w:r>
    </w:p>
    <w:p>
      <w:pPr>
        <w:spacing w:after="180" w:before="0" w:line="276"/>
        <w:jc w:val="both"/>
      </w:pPr>
      <w:r>
        <w:rPr>
          <w:rFonts w:ascii="Arial" w:cs="Arial" w:eastAsia="Arial" w:hAnsi="Arial"/>
          <w:color w:val="1A1A2E"/>
          <w:sz w:val="22"/>
          <w:szCs w:val="22"/>
        </w:rPr>
        <w:t xml:space="preserve">At population scale, the device reliability corpus — anonymized statistics aggregated across thousands of installations running the same device models — becomes the largest real-world smart home device reliability dataset in existence. This data is valuable to device manufacturers (quality improvement), warranty providers (cost prediction), standards bodies (certification requirements), and retailers (informed purchasing recommendations). But the population intelligence layer is a Phase 4+ product. In the MVP, the reliability projection serves the user: “Your Aqara motion sensor in the hallway has been offline 3 times in the last month. Average for this device model across your installation is 0.2 failures per month. This device may need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A6C9" w:sz="6"/>
              <w:left w:val="single" w:color="3FA6C9" w:sz="6"/>
              <w:bottom w:val="single" w:color="DDDDDD" w:sz="1"/>
              <w:right w:val="single" w:color="DDDDDD" w:sz="1"/>
            </w:tcBorders>
            <w:shd w:fill="F7FBFD" w:val="clear"/>
            <w:tcMar>
              <w:top w:type="dxa" w:w="120"/>
              <w:left w:type="dxa" w:w="200"/>
              <w:bottom w:type="dxa" w:w="120"/>
              <w:right w:type="dxa" w:w="200"/>
            </w:tcMar>
          </w:tcPr>
          <w:p>
            <w:pPr>
              <w:spacing w:after="80"/>
            </w:pPr>
            <w:r>
              <w:rPr>
                <w:rFonts w:ascii="Arial" w:cs="Arial" w:eastAsia="Arial" w:hAnsi="Arial"/>
                <w:b/>
                <w:bCs/>
                <w:color w:val="2F6FA3"/>
                <w:sz w:val="22"/>
                <w:szCs w:val="22"/>
              </w:rPr>
              <w:t xml:space="preserve">FIRST PRINCIPLE CHECK</w:t>
            </w:r>
          </w:p>
          <w:p>
            <w:pPr>
              <w:spacing w:after="0"/>
            </w:pPr>
            <w:r>
              <w:rPr>
                <w:rFonts w:ascii="Arial" w:cs="Arial" w:eastAsia="Arial" w:hAnsi="Arial"/>
                <w:color w:val="1A1A2E"/>
                <w:sz w:val="20"/>
                <w:szCs w:val="20"/>
              </w:rPr>
              <w:t xml:space="preserve">Does this make the MVP better for the user right now? Yes. Proactive device health monitoring is a feature no consumer platform offers well. The battery replacement prediction alone (“Your bedroom motion sensor battery will reach critical in approximately 12 days”) eliminates a common pain point. The comparison to installation-wide averages helps users identify genuinely faulty devices versus normal behavior. This is pure user value. The future population intelligence product is a bonus.</w:t>
            </w:r>
          </w:p>
        </w:tc>
      </w:tr>
    </w:tbl>
    <w:p>
      <w:pPr>
        <w:pBdr>
          <w:bottom w:val="single" w:color="3FA6C9" w:sz="4" w:space="8"/>
        </w:pBdr>
        <w:spacing w:after="300" w:before="300"/>
      </w:pPr>
    </w:p>
    <w:p>
      <w:pPr>
        <w:pStyle w:val="Heading1"/>
      </w:pPr>
      <w:r>
        <w:t xml:space="preserve">Section 6: Privacy Architecture for Data-Readiness</w:t>
      </w:r>
    </w:p>
    <w:p>
      <w:pPr>
        <w:pStyle w:val="Heading2"/>
      </w:pPr>
      <w:r>
        <w:t xml:space="preserve">The Non-Negotiable Foundation</w:t>
      </w:r>
    </w:p>
    <w:p>
      <w:pPr>
        <w:spacing w:after="180" w:before="0" w:line="276"/>
        <w:jc w:val="both"/>
      </w:pPr>
      <w:r>
        <w:rPr>
          <w:rFonts w:ascii="Arial" w:cs="Arial" w:eastAsia="Arial" w:hAnsi="Arial"/>
          <w:color w:val="1A1A2E"/>
          <w:sz w:val="22"/>
          <w:szCs w:val="22"/>
        </w:rPr>
        <w:t xml:space="preserve">Every specification in this document operates within the privacy architecture defined by INV-PD-01 through INV-PD-08. Zero telemetry by default. Data residency is user-controlled. Encrypted storage. Transparent data boundaries. Granular, informed, revocable consent. Offline integrity. Crypto-shredding for sensitive data lifecycle. Tamper-evident system integrity. These are not features to be balanced against data strategy. They are the constraints within which the data strategy operates.</w:t>
      </w:r>
    </w:p>
    <w:p>
      <w:pPr>
        <w:spacing w:after="180" w:before="0" w:line="276"/>
        <w:jc w:val="both"/>
      </w:pPr>
      <w:r>
        <w:rPr>
          <w:rFonts w:ascii="Arial" w:cs="Arial" w:eastAsia="Arial" w:hAnsi="Arial"/>
          <w:color w:val="1A1A2E"/>
          <w:sz w:val="22"/>
          <w:szCs w:val="22"/>
        </w:rPr>
        <w:t xml:space="preserve">The data-readiness specifications in this document do not create any new data flows outside the home. They do not transmit any data to NexSys or any third party. They do not enable any data sharing without future, explicit, granular consent. What they do is ensure that the data structures, aggregation formats, and classification metadata exist locally so that when the user chooses to participate in future programs (VPP, insurance, care monitoring), the data is already in the right shape. The user’s decision to share is still fully sovereign, still fully revocable, and still cryptographically verifiable.</w:t>
      </w:r>
    </w:p>
    <w:p>
      <w:pPr>
        <w:pStyle w:val="Heading2"/>
      </w:pPr>
      <w:r>
        <w:t xml:space="preserve">Crypto-Shredding Scope Alignment</w:t>
      </w:r>
    </w:p>
    <w:p>
      <w:pPr>
        <w:spacing w:after="180" w:before="0" w:line="276"/>
        <w:jc w:val="both"/>
      </w:pPr>
      <w:r>
        <w:rPr>
          <w:rFonts w:ascii="Arial" w:cs="Arial" w:eastAsia="Arial" w:hAnsi="Arial"/>
          <w:color w:val="1A1A2E"/>
          <w:sz w:val="22"/>
          <w:szCs w:val="22"/>
        </w:rPr>
        <w:t xml:space="preserve">INV-PD-07 defines the crypto-shredding scopes: behavioral data (occupancy patterns, presence history, usage schedules), energy data, identity and presence data, and media/audio data require per-scope encryption keys. The consent-scope categories defined in Section 1 of this document must align with the crypto-shredding scopes so that the same classification governs both internal lifecycle management (key rotation, shredding) and external access control (Data Sovereignty API scopes).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36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Crypto-Shredding Treatment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presence</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Occupancy, arrival/departure, room presence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Encrypted under per-user presence key. Crypto-shredding destroys the key, rendering all presence history irrecoverable while preserving device state events in the same time range.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energy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Consumption, production, grid interaction, tariff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Encrypted under household energy key. Reveals occupancy patterns, economic behavior, and daily routines per INV-EI-04.</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automation</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Trigger/action history, behavioral rules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Encrypted under household automation key. Reveals daily routines and behavioral preferences.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device_state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Light on/off, temperature readings, contact sensor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encrypted by default. Device-level facts without identity context. User may opt to encrypt.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Lock state, alarm, water leak, smoke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NOT encrypted by default. Operational safety data. User may opt to encrypt.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environmental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Ambient conditions (temp, humidity, AQ)</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encrypted by default. Non-behavioral unless combined with presence. User may opt to encrypt.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device_health</w:t>
            </w:r>
          </w:p>
        </w:tc>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Availability, firmware, battery, signal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NOT encrypted. System infrastructure data with no personal information.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Lifecycle, config, backup, migration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encrypted. Platform operational data.</w:t>
            </w:r>
          </w:p>
        </w:tc>
      </w:tr>
    </w:tbl>
    <w:p>
      <w:pPr>
        <w:spacing w:after="120"/>
      </w:pPr>
    </w:p>
    <w:p>
      <w:pPr>
        <w:spacing w:after="180" w:before="0" w:line="276"/>
        <w:jc w:val="both"/>
      </w:pPr>
      <w:r>
        <w:rPr>
          <w:rFonts w:ascii="Arial" w:cs="Arial" w:eastAsia="Arial" w:hAnsi="Arial"/>
          <w:color w:val="1A1A2E"/>
          <w:sz w:val="22"/>
          <w:szCs w:val="22"/>
        </w:rPr>
        <w:t xml:space="preserve">The alignment means that a single classification system serves three purposes: UI event filtering (Section 1), access control scoping (future Data Sovereignty API), and data lifecycle management (crypto-shredding). Building one system that serves all three purposes is simpler than building three separate systems later.</w:t>
      </w:r>
    </w:p>
    <w:p>
      <w:pPr>
        <w:pBdr>
          <w:bottom w:val="single" w:color="3FA6C9" w:sz="4" w:space="8"/>
        </w:pBdr>
        <w:spacing w:after="300" w:before="300"/>
      </w:pPr>
    </w:p>
    <w:p>
      <w:pPr>
        <w:pStyle w:val="Heading1"/>
      </w:pPr>
      <w:r>
        <w:t xml:space="preserve">Section 7: What the MVP Explicitly Does Not Build</w:t>
      </w:r>
    </w:p>
    <w:p>
      <w:pPr>
        <w:spacing w:after="180" w:before="0" w:line="276"/>
        <w:jc w:val="both"/>
      </w:pPr>
      <w:r>
        <w:rPr>
          <w:rFonts w:ascii="Arial" w:cs="Arial" w:eastAsia="Arial" w:hAnsi="Arial"/>
          <w:color w:val="1A1A2E"/>
          <w:sz w:val="22"/>
          <w:szCs w:val="22"/>
        </w:rPr>
        <w:t xml:space="preserve">Discipline about what to exclude is as important as what to include. The following capabilities are described in the companion data value strategy but must not be attempted in the MVP:</w:t>
      </w:r>
    </w:p>
    <w:p>
      <w:pPr>
        <w:spacing w:after="180" w:before="0" w:line="276"/>
        <w:jc w:val="both"/>
      </w:pPr>
      <w:r>
        <w:rPr>
          <w:rFonts w:ascii="Arial" w:cs="Arial" w:eastAsia="Arial" w:hAnsi="Arial"/>
          <w:b/>
          <w:bCs/>
          <w:color w:val="1A1A2E"/>
          <w:sz w:val="22"/>
          <w:szCs w:val="22"/>
        </w:rPr>
        <w:t xml:space="preserve">No Data Sovereignty API. </w:t>
      </w:r>
      <w:r>
        <w:rPr>
          <w:rFonts w:ascii="Arial" w:cs="Arial" w:eastAsia="Arial" w:hAnsi="Arial"/>
          <w:color w:val="1A1A2E"/>
          <w:sz w:val="22"/>
          <w:szCs w:val="22"/>
        </w:rPr>
        <w:t xml:space="preserve">The API that exposes scoped, consent-mediated data to external institutions is a Phase 2 prototype and Phase 3 production feature. The MVP builds the data structures and classifications that the API will eventually consume. It does not build the API itself, the consent management UI, or any external-facing data endpoint. The MVP HomeSynapse installation transmits zero bytes to any external service by default (INV-PD-01).</w:t>
      </w:r>
    </w:p>
    <w:p>
      <w:pPr>
        <w:spacing w:after="180" w:before="0" w:line="276"/>
        <w:jc w:val="both"/>
      </w:pPr>
      <w:r>
        <w:rPr>
          <w:rFonts w:ascii="Arial" w:cs="Arial" w:eastAsia="Arial" w:hAnsi="Arial"/>
          <w:b/>
          <w:bCs/>
          <w:color w:val="1A1A2E"/>
          <w:sz w:val="22"/>
          <w:szCs w:val="22"/>
        </w:rPr>
        <w:t xml:space="preserve">No institutional data products. </w:t>
      </w:r>
      <w:r>
        <w:rPr>
          <w:rFonts w:ascii="Arial" w:cs="Arial" w:eastAsia="Arial" w:hAnsi="Arial"/>
          <w:color w:val="1A1A2E"/>
          <w:sz w:val="22"/>
          <w:szCs w:val="22"/>
        </w:rPr>
        <w:t xml:space="preserve">NexSys Grid, NexSys Assure, and NexSys Care are Phase 3 products. The MVP does not implement OpenADR clients, cryptographic attestation engines, or FHIR/HL7 interfaces. It builds the event log, the aggregates, and the health score that these products will eventually consume.</w:t>
      </w:r>
    </w:p>
    <w:p>
      <w:pPr>
        <w:spacing w:after="180" w:before="0" w:line="276"/>
        <w:jc w:val="both"/>
      </w:pPr>
      <w:r>
        <w:rPr>
          <w:rFonts w:ascii="Arial" w:cs="Arial" w:eastAsia="Arial" w:hAnsi="Arial"/>
          <w:b/>
          <w:bCs/>
          <w:color w:val="1A1A2E"/>
          <w:sz w:val="22"/>
          <w:szCs w:val="22"/>
        </w:rPr>
        <w:t xml:space="preserve">No population intelligence. </w:t>
      </w:r>
      <w:r>
        <w:rPr>
          <w:rFonts w:ascii="Arial" w:cs="Arial" w:eastAsia="Arial" w:hAnsi="Arial"/>
          <w:color w:val="1A1A2E"/>
          <w:sz w:val="22"/>
          <w:szCs w:val="22"/>
        </w:rPr>
        <w:t xml:space="preserve">Differential privacy, anonymized aggregation across installations, and statistical pattern extraction are Phase 4+ capabilities. The MVP installation is a standalone system with no awareness of other HomeSynapse installations.</w:t>
      </w:r>
    </w:p>
    <w:p>
      <w:pPr>
        <w:spacing w:after="180" w:before="0" w:line="276"/>
        <w:jc w:val="both"/>
      </w:pPr>
      <w:r>
        <w:rPr>
          <w:rFonts w:ascii="Arial" w:cs="Arial" w:eastAsia="Arial" w:hAnsi="Arial"/>
          <w:b/>
          <w:bCs/>
          <w:color w:val="1A1A2E"/>
          <w:sz w:val="22"/>
          <w:szCs w:val="22"/>
        </w:rPr>
        <w:t xml:space="preserve">No behavioral AI. </w:t>
      </w:r>
      <w:r>
        <w:rPr>
          <w:rFonts w:ascii="Arial" w:cs="Arial" w:eastAsia="Arial" w:hAnsi="Arial"/>
          <w:color w:val="1A1A2E"/>
          <w:sz w:val="22"/>
          <w:szCs w:val="22"/>
        </w:rPr>
        <w:t xml:space="preserve">On-device behavior modeling (INV-AI-05), predictive automation, and pattern learning are post-MVP features. The MVP records the events that future AI will train on. It does not train models, make predictions, or learn patterns. The event log is the training dataset. The training happens later.</w:t>
      </w:r>
    </w:p>
    <w:p>
      <w:pPr>
        <w:spacing w:after="180" w:before="0" w:line="276"/>
        <w:jc w:val="both"/>
      </w:pPr>
      <w:r>
        <w:rPr>
          <w:rFonts w:ascii="Arial" w:cs="Arial" w:eastAsia="Arial" w:hAnsi="Arial"/>
          <w:b/>
          <w:bCs/>
          <w:color w:val="1A1A2E"/>
          <w:sz w:val="22"/>
          <w:szCs w:val="22"/>
        </w:rPr>
        <w:t xml:space="preserve">No cloud data processing. </w:t>
      </w:r>
      <w:r>
        <w:rPr>
          <w:rFonts w:ascii="Arial" w:cs="Arial" w:eastAsia="Arial" w:hAnsi="Arial"/>
          <w:color w:val="1A1A2E"/>
          <w:sz w:val="22"/>
          <w:szCs w:val="22"/>
        </w:rPr>
        <w:t xml:space="preserve">All data processing in the MVP happens locally on the user’s hardware. The Cloud Connect and Cloud Pro subscription services (remote access, backup, push notifications) do not process or analyze the user’s event data in the cloud. Backup is encrypted end-to-end; NexSys cannot read it. Remote access is an encrypted tunnel; NexSys cannot see the traffic. This is not a temporary limitation — it is the permanent architecture.</w:t>
      </w:r>
    </w:p>
    <w:p>
      <w:pPr>
        <w:pBdr>
          <w:bottom w:val="single" w:color="3FA6C9" w:sz="4" w:space="8"/>
        </w:pBdr>
        <w:spacing w:after="300" w:before="300"/>
      </w:pPr>
    </w:p>
    <w:p>
      <w:pPr>
        <w:pStyle w:val="Heading1"/>
      </w:pPr>
      <w:r>
        <w:t xml:space="preserve">Section 8: Realistic Timeline and Sequencing</w:t>
      </w:r>
    </w:p>
    <w:p>
      <w:pPr>
        <w:spacing w:after="180" w:before="0" w:line="276"/>
        <w:jc w:val="both"/>
      </w:pPr>
      <w:r>
        <w:rPr>
          <w:rFonts w:ascii="Arial" w:cs="Arial" w:eastAsia="Arial" w:hAnsi="Arial"/>
          <w:color w:val="1A1A2E"/>
          <w:sz w:val="22"/>
          <w:szCs w:val="22"/>
        </w:rPr>
        <w:t xml:space="preserve">The following timeline assumes the founder is finishing college with approximately 20–30 hours per week available for HomeSynapse development during the academic year, scaling to 40–60 hours per week during breaks and after graduation. The timeline is conservative. Every milestone is a shippable state — if development slows, the system is still useful at each checkpoint.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7360"/>
            <w:tcBorders>
              <w:top w:val="single" w:color="CCCCCC" w:sz="1"/>
              <w:left w:val="single" w:color="CCCCCC" w:sz="1"/>
              <w:bottom w:val="single" w:color="CCCCCC" w:sz="1"/>
              <w:right w:val="single" w:color="CCCCCC" w:sz="1"/>
            </w:tcBorders>
            <w:shd w:fill="2F6FA3" w:val="clear"/>
            <w:tcMar>
              <w:top w:type="dxa" w:w="80"/>
              <w:left w:type="dxa" w:w="120"/>
              <w:bottom w:type="dxa" w:w="80"/>
              <w:right w:type="dxa" w:w="120"/>
            </w:tcMar>
          </w:tcPr>
          <w:p>
            <w:r>
              <w:rPr>
                <w:rFonts w:ascii="Arial" w:cs="Arial" w:eastAsia="Arial" w:hAnsi="Arial"/>
                <w:b/>
                <w:bCs/>
                <w:color w:val="FFFFFF"/>
                <w:sz w:val="20"/>
                <w:szCs w:val="20"/>
              </w:rPr>
              <w:t xml:space="preserve">Milestone and Data-Readiness Deliverables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Months 1–3</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Event Model &amp; Event Bus implementation with consent-scope categories in the event envelope from the first line of code. The event_category field, the category lookup table, and the composite index are part of the initial schema migration (V001). The Persistence Layer follows with both database files, the telemetry ring store, and the base aggregation engine (5-minute summaries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Months 3–6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Device Model &amp; Capability System with the energy capability attributes defined in Section 4 as part of the initial capability schema. State Store with the home health scoring model (Section 3) as a materialized view subscriber. Device reliability projection (Section 5) as a second materialized view. The 50-device, 72-hour stability test includes health score accuracy verification.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Months 6–9</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Integration Runtime and Zigbee adapter. First real devices generating real events with real consent-scope categories, real energy telemetry from smart plugs, real availability events feeding the reliability projection, and real environmental readings contributing to the health score. The aggregation engine is extended to produce hourly and daily aggregates (Section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Months 9–12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 API, WebSocket API, and the observability web UI. The dashboard displays the home health score prominently, offers category-filtered event views, shows energy consumption trends from hourly/daily aggregates, and provides device reliability metrics. This is the Tier 1 MVP acceptance test: the system is useful, observable, and data-complete.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Months 12–18</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2E"/>
                <w:sz w:val="20"/>
                <w:szCs w:val="20"/>
              </w:rPr>
              <w:t xml:space="preserve">Weekly and monthly aggregate tiers. Configuration and Automation Engine. Multi-protocol preparation (Z-Wave, Matter/Thread adapter stubs). Green Button Connect My Data implementation for utility data ingestion. Internal Data Sovereignty API prototype with three initial consent scopes (energy-summary, device-health, automation-summary). No external exposure.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Months 18–24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Tier 2 competitive proof: Z-Wave and Matter/Thread adapters, energy-specific integrations (MQTT monitors, Modbus inverters, OCPP chargers), full energy dashboard with production/consumption/storage visualization, and the NexSys Energy build variant. Data Sovereignty API internal prototype tested against real multi-protocol energy data. By this point, the earliest installations have 12–18 months of structured, categorized, aggregated data history.</w:t>
            </w:r>
          </w:p>
        </w:tc>
      </w:tr>
    </w:tbl>
    <w:p>
      <w:pPr>
        <w:spacing w:after="120"/>
      </w:pPr>
    </w:p>
    <w:p>
      <w:pPr>
        <w:spacing w:after="180" w:before="0" w:line="276"/>
        <w:jc w:val="both"/>
      </w:pPr>
      <w:r>
        <w:rPr>
          <w:rFonts w:ascii="Arial" w:cs="Arial" w:eastAsia="Arial" w:hAnsi="Arial"/>
          <w:color w:val="1A1A2E"/>
          <w:sz w:val="22"/>
          <w:szCs w:val="22"/>
        </w:rPr>
        <w:t xml:space="preserve">By month 24 — roughly the point where the founder has graduated, secured employment, and has 1–2 years of real-world HomeSynapse installations running — the platform possesses the most complete, structured, temporally deep residential data architecture in the consumer smart home industry. No code has been written for institutional products. No data has left any user’s home. But every installation is a fully instrumented node ready to participate in energy, insurance, and care programs the moment those products are built and the user consents.</w:t>
      </w:r>
    </w:p>
    <w:p>
      <w:pPr>
        <w:pBdr>
          <w:bottom w:val="single" w:color="3FA6C9" w:sz="4" w:space="8"/>
        </w:pBdr>
        <w:spacing w:after="300" w:before="300"/>
      </w:pPr>
    </w:p>
    <w:p>
      <w:pPr>
        <w:pStyle w:val="Heading1"/>
      </w:pPr>
      <w:r>
        <w:t xml:space="preserve">Conclusion: The Discipline of Patience</w:t>
      </w:r>
    </w:p>
    <w:p>
      <w:pPr>
        <w:spacing w:after="180" w:before="0" w:line="276"/>
        <w:jc w:val="both"/>
      </w:pPr>
      <w:r>
        <w:rPr>
          <w:rFonts w:ascii="Arial" w:cs="Arial" w:eastAsia="Arial" w:hAnsi="Arial"/>
          <w:color w:val="1A1A2E"/>
          <w:sz w:val="22"/>
          <w:szCs w:val="22"/>
        </w:rPr>
        <w:t xml:space="preserve">The specifications in this document add approximately 15–20% to the MVP implementation effort compared to a version that ignores future data value entirely. The consent-scope categories are a schema-level addition. The multi-tier aggregation is an extension of an engine that already exists. The home health score is a single materialized view subscriber. The device reliability projection is another. The energy capability standardization is a modeling decision, not a feature.</w:t>
      </w:r>
    </w:p>
    <w:p>
      <w:pPr>
        <w:spacing w:after="180" w:before="0" w:line="276"/>
        <w:jc w:val="both"/>
      </w:pPr>
      <w:r>
        <w:rPr>
          <w:rFonts w:ascii="Arial" w:cs="Arial" w:eastAsia="Arial" w:hAnsi="Arial"/>
          <w:color w:val="1A1A2E"/>
          <w:sz w:val="22"/>
          <w:szCs w:val="22"/>
        </w:rPr>
        <w:t xml:space="preserve">What this 15–20% buys is the elimination of the most expensive technical debt category in software: retroactive data migration. Every event recorded without a consent-scope category is an event that requires re-classification later. Every month of energy data stored without standardized aggregate formats is a month that must be replayed to regenerate aggregates. Every device failure that is not tracked in a reliability projection is a data point that is lost forever.</w:t>
      </w:r>
    </w:p>
    <w:p>
      <w:pPr>
        <w:spacing w:after="180" w:before="0" w:line="276"/>
        <w:jc w:val="both"/>
      </w:pPr>
      <w:r>
        <w:rPr>
          <w:rFonts w:ascii="Arial" w:cs="Arial" w:eastAsia="Arial" w:hAnsi="Arial"/>
          <w:color w:val="1A1A2E"/>
          <w:sz w:val="22"/>
          <w:szCs w:val="22"/>
        </w:rPr>
        <w:t xml:space="preserve">The HomeSynapse MVP is a smart home operating system. It is also, by architectural necessity and deliberate design, the most thorough residential data infrastructure ever built. These are not competing goals. They are the same goal viewed from different time horizons. The user who installs HomeSynapse tomorrow gets a home that is more observable, more reliable, and more intelligent than anything else available. The user who has been running HomeSynapse for three years possesses a data asset that makes their home worth more, their energy costs lower, their insurance cheaper, and their family safer.</w:t>
      </w:r>
    </w:p>
    <w:p>
      <w:pPr>
        <w:spacing w:after="180" w:before="0" w:line="276"/>
        <w:jc w:val="both"/>
      </w:pPr>
      <w:r>
        <w:rPr>
          <w:rFonts w:ascii="Arial" w:cs="Arial" w:eastAsia="Arial" w:hAnsi="Arial"/>
          <w:color w:val="1A1A2E"/>
          <w:sz w:val="22"/>
          <w:szCs w:val="22"/>
        </w:rPr>
        <w:t xml:space="preserve">Build it right. Build it once. Build it for the user. The data value follows.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6B7B8D"/>
        <w:sz w:val="16"/>
        <w:szCs w:val="16"/>
      </w:rPr>
      <w:t xml:space="preserve">CONFIDENTIAL — Page </w:t>
    </w:r>
    <w:r>
      <w:rPr>
        <w:rFonts w:ascii="Arial" w:cs="Arial" w:eastAsia="Arial" w:hAnsi="Arial"/>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FA6C9" w:sz="2" w:space="4"/>
      </w:pBdr>
      <w:jc w:val="right"/>
    </w:pPr>
    <w:r>
      <w:rPr>
        <w:rFonts w:ascii="Arial" w:cs="Arial" w:eastAsia="Arial" w:hAnsi="Arial"/>
        <w:i/>
        <w:iCs/>
        <w:color w:val="6B7B8D"/>
        <w:sz w:val="16"/>
        <w:szCs w:val="16"/>
      </w:rPr>
      <w:t xml:space="preserve">HomeSynapse v1 MVP — Data-Readiness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F6FA3"/>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3FA6C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2026-03-07T22:06:29.010Z</dcterms:created>
  <dcterms:modified xsi:type="dcterms:W3CDTF">2026-03-07T22:06:29.010Z</dcterms:modified>
</cp:coreProperties>
</file>

<file path=docProps/custom.xml><?xml version="1.0" encoding="utf-8"?>
<Properties xmlns="http://schemas.openxmlformats.org/officeDocument/2006/custom-properties" xmlns:vt="http://schemas.openxmlformats.org/officeDocument/2006/docPropsVTypes"/>
</file>