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Arial" w:cs="Arial" w:eastAsia="Arial" w:hAnsi="Arial"/>
          <w:color w:val="6B7B8D"/>
          <w:sz w:val="22"/>
          <w:szCs w:val="22"/>
        </w:rPr>
        <w:t xml:space="preserve">NexSys Strategic Intelligence</w:t>
      </w:r>
    </w:p>
    <w:p>
      <w:pPr>
        <w:spacing w:after="200"/>
      </w:pPr>
    </w:p>
    <w:p>
      <w:pPr>
        <w:spacing w:after="120"/>
        <w:jc w:val="left"/>
      </w:pPr>
      <w:r>
        <w:rPr>
          <w:rFonts w:ascii="Arial" w:cs="Arial" w:eastAsia="Arial" w:hAnsi="Arial"/>
          <w:b/>
          <w:bCs/>
          <w:color w:val="2F6FA3"/>
          <w:sz w:val="56"/>
          <w:szCs w:val="56"/>
        </w:rPr>
        <w:t xml:space="preserve">From Home Operating System</w:t>
      </w:r>
    </w:p>
    <w:p>
      <w:pPr>
        <w:spacing w:after="120"/>
        <w:jc w:val="left"/>
      </w:pPr>
      <w:r>
        <w:rPr>
          <w:rFonts w:ascii="Arial" w:cs="Arial" w:eastAsia="Arial" w:hAnsi="Arial"/>
          <w:b/>
          <w:bCs/>
          <w:color w:val="3FA6C9"/>
          <w:sz w:val="56"/>
          <w:szCs w:val="56"/>
        </w:rPr>
        <w:t xml:space="preserve">to Data Value Engine</w:t>
      </w:r>
    </w:p>
    <w:p>
      <w:pPr>
        <w:spacing w:after="200"/>
      </w:pPr>
    </w:p>
    <w:p>
      <w:pPr>
        <w:pBdr>
          <w:top w:val="single" w:color="3FA6C9" w:sz="6" w:space="8"/>
        </w:pBdr>
        <w:spacing w:after="80" w:before="100"/>
        <w:jc w:val="left"/>
      </w:pPr>
      <w:r>
        <w:rPr>
          <w:rFonts w:ascii="Arial" w:cs="Arial" w:eastAsia="Arial" w:hAnsi="Arial"/>
          <w:i/>
          <w:iCs/>
          <w:color w:val="6B7B8D"/>
          <w:sz w:val="24"/>
          <w:szCs w:val="24"/>
        </w:rPr>
        <w:t xml:space="preserve">A strategic framework for evolving HomeSynapse from a polished smart home MVP into a consent-governed data infrastructure platform that generates compounding value across energy, insurance, healthcare, and property intelligence markets — without ever betraying the user.</w:t>
      </w:r>
    </w:p>
    <w:p>
      <w:pPr>
        <w:spacing w:after="1600"/>
      </w:pPr>
    </w:p>
    <w:p>
      <w:pPr>
        <w:jc w:val="left"/>
      </w:pPr>
      <w:r>
        <w:rPr>
          <w:rFonts w:ascii="Arial" w:cs="Arial" w:eastAsia="Arial" w:hAnsi="Arial"/>
          <w:color w:val="6B7B8D"/>
          <w:sz w:val="20"/>
          <w:szCs w:val="20"/>
        </w:rPr>
        <w:t xml:space="preserve">CONFIDENTIAL — NexSys Internal Strategy</w:t>
      </w:r>
    </w:p>
    <w:p>
      <w:pPr>
        <w:jc w:val="left"/>
      </w:pPr>
      <w:r>
        <w:rPr>
          <w:rFonts w:ascii="Arial" w:cs="Arial" w:eastAsia="Arial" w:hAnsi="Arial"/>
          <w:color w:val="6B7B8D"/>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80" w:before="0" w:line="276"/>
        <w:jc w:val="both"/>
      </w:pPr>
      <w:r>
        <w:rPr>
          <w:rFonts w:ascii="Arial" w:cs="Arial" w:eastAsia="Arial" w:hAnsi="Arial"/>
          <w:color w:val="1A1A2E"/>
          <w:sz w:val="22"/>
          <w:szCs w:val="22"/>
        </w:rPr>
        <w:t xml:space="preserve">HomeSynapse is already a data infrastructure company. It simply has not yet recognized or operationalized this fact. Every architectural decision embedded in the platform — event sourcing, local-first processing, immutable append-only logs, per-entity monotonic sequencing, causal chain tracking, structured telemetry separation — was made to ensure correctness and reliability. But these same decisions have created something far more strategically valuable: a structured, timestamped, causally linked, tamper-evident record of everything that happens in a home. That record, under the homeowner’s sovereign control, is the most valuable dataset in residential infrastructure — and almost no one is collecting it properly.</w:t>
      </w:r>
    </w:p>
    <w:p>
      <w:pPr>
        <w:spacing w:after="180" w:before="0" w:line="276"/>
        <w:jc w:val="both"/>
      </w:pPr>
      <w:r>
        <w:rPr>
          <w:rFonts w:ascii="Arial" w:cs="Arial" w:eastAsia="Arial" w:hAnsi="Arial"/>
          <w:color w:val="1A1A2E"/>
          <w:sz w:val="22"/>
          <w:szCs w:val="22"/>
        </w:rPr>
        <w:t xml:space="preserve">This report outlines how NexSys can evolve HomeSynapse from a polished smart home runtime into a consent-governed data value engine that generates increasingly valuable data streams across five expanding domains: smart home operations, energy and grid services, insurance and risk, healthcare and aging-in-place, and property intelligence. The strategy is designed to be executed in phases that align precisely with the existing growth roadmap, requiring no architectural rework and no deviation from the non-negotiable constraints: no advertising, no data monetization, no feature-gating, and no betrayal of user trust.</w:t>
      </w:r>
    </w:p>
    <w:p>
      <w:pPr>
        <w:spacing w:after="180" w:before="0" w:line="276"/>
        <w:jc w:val="both"/>
      </w:pPr>
      <w:r>
        <w:rPr>
          <w:rFonts w:ascii="Arial" w:cs="Arial" w:eastAsia="Arial" w:hAnsi="Arial"/>
          <w:color w:val="1A1A2E"/>
          <w:sz w:val="22"/>
          <w:szCs w:val="22"/>
        </w:rPr>
        <w:t xml:space="preserve">The core insight is this: in the data brokerage industry, raw data is a commodity. The most valuable products are derivative fusions — combinations of multiple data streams that produce emergent insights worth 10 to 100 times more than any individual stream. HomeSynapse’s unified event model is the only residential platform architecture capable of producing these fusions at the household level, because it is the only platform where every device, every sensor, every automation, and every protocol routes through a single canonical data model. The Oracle principle — whoever controls the canonical data model wins — applies with full force.</w:t>
      </w:r>
    </w:p>
    <w:p>
      <w:pPr>
        <w:spacing w:after="180" w:before="0" w:line="276"/>
        <w:jc w:val="both"/>
      </w:pPr>
      <w:r>
        <w:rPr>
          <w:rFonts w:ascii="Arial" w:cs="Arial" w:eastAsia="Arial" w:hAnsi="Arial"/>
          <w:color w:val="1A1A2E"/>
          <w:sz w:val="22"/>
          <w:szCs w:val="22"/>
        </w:rPr>
        <w:t xml:space="preserve">The mechanism that makes this possible without violating NexSys doctrine is the Data Sovereignty API, already planned for Phase 4. This report argues it should be designed from Phase 1 and prototyped by Phase 2 — not because it generates revenue earlier, but because every data stream created in Phases 1 through 3 becomes exponentially more valuable when it can be composed, scoped, and offered through a consent framework that the homeowner controls. The user is never the product. The user is the sovereign operator of an infrastructure asset that generates value for them.</w:t>
      </w:r>
    </w:p>
    <w:p>
      <w:pPr>
        <w:pBdr>
          <w:bottom w:val="single" w:color="3FA6C9" w:sz="4" w:space="8"/>
        </w:pBdr>
        <w:spacing w:after="300" w:before="300"/>
      </w:pPr>
    </w:p>
    <w:p>
      <w:pPr>
        <w:pStyle w:val="Heading1"/>
      </w:pPr>
      <w:r>
        <w:t xml:space="preserve">Part One: Why HomeSynapse Is Already a Data Infrastructure Company</w:t>
      </w:r>
    </w:p>
    <w:p>
      <w:pPr>
        <w:pStyle w:val="Heading2"/>
      </w:pPr>
      <w:r>
        <w:t xml:space="preserve">The Event Log Is the Asset</w:t>
      </w:r>
    </w:p>
    <w:p>
      <w:pPr>
        <w:spacing w:after="180" w:before="0" w:line="276"/>
        <w:jc w:val="both"/>
      </w:pPr>
      <w:r>
        <w:rPr>
          <w:rFonts w:ascii="Arial" w:cs="Arial" w:eastAsia="Arial" w:hAnsi="Arial"/>
          <w:color w:val="1A1A2E"/>
          <w:sz w:val="22"/>
          <w:szCs w:val="22"/>
        </w:rPr>
        <w:t xml:space="preserve">The strategic doctrine states: “Whoever controls the canonical data model of the home wins.” This is correct, but it understates the implication. The event log is not merely a debugging tool or an architectural nicety. It is the single most complete, structured, temporally ordered, causally linked dataset about residential life that exists anywhere in the consumer technology landscape. No cloud platform produces anything comparable, because cloud platforms collect what they choose to collect, when they choose to collect it, in formats optimized for their own analytics pipelines. HomeSynapse collects everything, by architectural necessity, in a format optimized for truth.</w:t>
      </w:r>
    </w:p>
    <w:p>
      <w:pPr>
        <w:spacing w:after="180" w:before="0" w:line="276"/>
        <w:jc w:val="both"/>
      </w:pPr>
      <w:r>
        <w:rPr>
          <w:rFonts w:ascii="Arial" w:cs="Arial" w:eastAsia="Arial" w:hAnsi="Arial"/>
          <w:color w:val="1A1A2E"/>
          <w:sz w:val="22"/>
          <w:szCs w:val="22"/>
        </w:rPr>
        <w:t xml:space="preserve">Consider what a mature HomeSynapse installation with 50 to 100 devices generates over 12 months. The event log contains millions of immutable facts: every light state change, every door opening, every temperature reading, every motion detection, every energy consumption measurement, every automation execution, every device failure and recovery. Each event carries a ULID, an entity reference, a causal chain, and a structured payload. This is not a flat log file. It is a structured, queryable, replayable history of the home as a living system.</w:t>
      </w:r>
    </w:p>
    <w:p>
      <w:pPr>
        <w:spacing w:after="180" w:before="0" w:line="276"/>
        <w:jc w:val="both"/>
      </w:pPr>
      <w:r>
        <w:rPr>
          <w:rFonts w:ascii="Arial" w:cs="Arial" w:eastAsia="Arial" w:hAnsi="Arial"/>
          <w:color w:val="1A1A2E"/>
          <w:sz w:val="22"/>
          <w:szCs w:val="22"/>
        </w:rPr>
        <w:t xml:space="preserve">The data brokerage industry values this kind of structured behavioral data at $50 to $300 per household per year when sold through traditional third-party channels. But that figure reflects commoditized, consent-ambiguous, often inaccurate data collected through SDK integrations, bidstream harvesting, and app permissions that users do not understand. HomeSynapse data is qualitatively different: it is first-party, deterministic, hardware-validated, and — when shared — explicitly consented. In the post-GDPR, post-CCPA regulatory environment, this distinction is not a nice-to-have. It is the difference between a legal asset and a legal liability.</w:t>
      </w:r>
    </w:p>
    <w:p>
      <w:pPr>
        <w:pStyle w:val="Heading2"/>
      </w:pPr>
      <w:r>
        <w:t xml:space="preserve">What Makes Home Data Structurally Valuable</w:t>
      </w:r>
    </w:p>
    <w:p>
      <w:pPr>
        <w:spacing w:after="180" w:before="0" w:line="276"/>
        <w:jc w:val="both"/>
      </w:pPr>
      <w:r>
        <w:rPr>
          <w:rFonts w:ascii="Arial" w:cs="Arial" w:eastAsia="Arial" w:hAnsi="Arial"/>
          <w:color w:val="1A1A2E"/>
          <w:sz w:val="22"/>
          <w:szCs w:val="22"/>
        </w:rPr>
        <w:t xml:space="preserve">The research into data brokerage economics reveals seven multipliers that determine whether a data stream is worth fractions of a cent or hundreds of dollars per record: recency, accuracy, granularity, exclusivity, consent status, actionability, and sensitivity premium. HomeSynapse data scores at the top of every multiplier simultaneously. It is real-time (sub-second event ingestion). It is accurate (hardware-validated sensor readings, not probabilistic inference). It is granular (per-device, per-second, per-entity). It is exclusive (no other platform collects this data in this structure). It is consented (privacy-by-architecture, explicit opt-in for any sharing). It is actionable (energy optimization, risk mitigation, care monitoring all drive immediate decisions). And it carries a sensitivity premium (home behavioral data is exactly the category that regulation makes harder to collect, increasing scarcity value).</w:t>
      </w:r>
    </w:p>
    <w:p>
      <w:pPr>
        <w:spacing w:after="180" w:before="0" w:line="276"/>
        <w:jc w:val="both"/>
      </w:pPr>
      <w:r>
        <w:rPr>
          <w:rFonts w:ascii="Arial" w:cs="Arial" w:eastAsia="Arial" w:hAnsi="Arial"/>
          <w:color w:val="1A1A2E"/>
          <w:sz w:val="22"/>
          <w:szCs w:val="22"/>
        </w:rPr>
        <w:t xml:space="preserve">Critically, home data is persistent in a way that most consumer behavioral data is not. Purchase intent signals decay in hours. Location data loses relevance in days. But a home’s energy consumption pattern, its occupancy rhythm, its device reliability history, and its environmental profile are stable over months and years. This means the data appreciates rather than depreciates — 12 months of energy data is worth more than 1 month, because it captures seasonal variation and enables predictive modeling. This is the opposite of the data decay curves that plague the advertising data industry.</w:t>
      </w:r>
    </w:p>
    <w:p>
      <w:pPr>
        <w:pBdr>
          <w:bottom w:val="single" w:color="3FA6C9" w:sz="4" w:space="8"/>
        </w:pBdr>
        <w:spacing w:after="300" w:before="300"/>
      </w:pPr>
    </w:p>
    <w:p>
      <w:pPr>
        <w:pStyle w:val="Heading1"/>
      </w:pPr>
      <w:r>
        <w:t xml:space="preserve">Part Two: The Data Value Pyramid</w:t>
      </w:r>
    </w:p>
    <w:p>
      <w:pPr>
        <w:spacing w:after="180" w:before="0" w:line="276"/>
        <w:jc w:val="both"/>
      </w:pPr>
      <w:r>
        <w:rPr>
          <w:rFonts w:ascii="Arial" w:cs="Arial" w:eastAsia="Arial" w:hAnsi="Arial"/>
          <w:color w:val="1A1A2E"/>
          <w:sz w:val="22"/>
          <w:szCs w:val="22"/>
        </w:rPr>
        <w:t xml:space="preserve">HomeSynapse’s data value follows a pyramid structure. Each layer builds on the one below, and the value at each layer is a multiple of the layer beneath it. The pyramid has five levels, and the compounding effect between layers is what makes the long-term strategy transformative.</w:t>
      </w:r>
    </w:p>
    <w:p>
      <w:pPr>
        <w:pStyle w:val="Heading2"/>
      </w:pPr>
      <w:r>
        <w:t xml:space="preserve">Layer 1: Raw Event Streams</w:t>
      </w:r>
    </w:p>
    <w:p>
      <w:pPr>
        <w:spacing w:after="180" w:before="0" w:line="276"/>
        <w:jc w:val="both"/>
      </w:pPr>
      <w:r>
        <w:rPr>
          <w:rFonts w:ascii="Arial" w:cs="Arial" w:eastAsia="Arial" w:hAnsi="Arial"/>
          <w:color w:val="1A1A2E"/>
          <w:sz w:val="22"/>
          <w:szCs w:val="22"/>
        </w:rPr>
        <w:t xml:space="preserve">The foundation is the raw event log itself: device state changes, sensor readings, automation executions, system lifecycle events. This layer is generated automatically by normal HomeSynapse operation. The user does not need to do anything special. The data exists because the architecture requires it. Individual raw events have minimal commercial value — a single temperature reading or light state change is effectively worthless in isolation. But the volume, structure, and temporal ordering create the substrate for everything above.</w:t>
      </w:r>
    </w:p>
    <w:p>
      <w:pPr>
        <w:spacing w:after="180" w:before="0" w:line="276"/>
        <w:jc w:val="both"/>
      </w:pPr>
      <w:r>
        <w:rPr>
          <w:rFonts w:ascii="Arial" w:cs="Arial" w:eastAsia="Arial" w:hAnsi="Arial"/>
          <w:b/>
          <w:bCs/>
          <w:color w:val="1A1A2E"/>
          <w:sz w:val="22"/>
          <w:szCs w:val="22"/>
        </w:rPr>
        <w:t xml:space="preserve">Value to the user: </w:t>
      </w:r>
      <w:r>
        <w:rPr>
          <w:rFonts w:ascii="Arial" w:cs="Arial" w:eastAsia="Arial" w:hAnsi="Arial"/>
          <w:color w:val="1A1A2E"/>
          <w:sz w:val="22"/>
          <w:szCs w:val="22"/>
        </w:rPr>
        <w:t xml:space="preserve">Debugging, explainability (“why did this happen?”), historical record. The user sees this as the event trace in the UI — the primary visible interface element that differentiates HomeSynapse from every competitor.</w:t>
      </w:r>
    </w:p>
    <w:p>
      <w:pPr>
        <w:spacing w:after="180" w:before="0" w:line="276"/>
        <w:jc w:val="both"/>
      </w:pPr>
      <w:r>
        <w:rPr>
          <w:rFonts w:ascii="Arial" w:cs="Arial" w:eastAsia="Arial" w:hAnsi="Arial"/>
          <w:b/>
          <w:bCs/>
          <w:color w:val="1A1A2E"/>
          <w:sz w:val="22"/>
          <w:szCs w:val="22"/>
        </w:rPr>
        <w:t xml:space="preserve">Value to NexSys: </w:t>
      </w:r>
      <w:r>
        <w:rPr>
          <w:rFonts w:ascii="Arial" w:cs="Arial" w:eastAsia="Arial" w:hAnsi="Arial"/>
          <w:color w:val="1A1A2E"/>
          <w:sz w:val="22"/>
          <w:szCs w:val="22"/>
        </w:rPr>
        <w:t xml:space="preserve">Zero direct revenue. This layer exists to serve the user and to feed the layers above. It is the cost of architectural integrity, and it is non-negotiable.</w:t>
      </w:r>
    </w:p>
    <w:p>
      <w:pPr>
        <w:pStyle w:val="Heading2"/>
      </w:pPr>
      <w:r>
        <w:t xml:space="preserve">Layer 2: Derived Intelligence</w:t>
      </w:r>
    </w:p>
    <w:p>
      <w:pPr>
        <w:spacing w:after="180" w:before="0" w:line="276"/>
        <w:jc w:val="both"/>
      </w:pPr>
      <w:r>
        <w:rPr>
          <w:rFonts w:ascii="Arial" w:cs="Arial" w:eastAsia="Arial" w:hAnsi="Arial"/>
          <w:color w:val="1A1A2E"/>
          <w:sz w:val="22"/>
          <w:szCs w:val="22"/>
        </w:rPr>
        <w:t xml:space="preserve">The second layer applies computation to raw events to produce derived insights that are more useful than any individual event. This is where HomeSynapse’s on-device AI and local processing create value that cloud-dependent platforms cannot match, because the computation happens at the data source with zero latency and zero privacy exposure.</w:t>
      </w:r>
    </w:p>
    <w:p>
      <w:pPr>
        <w:spacing w:after="180" w:before="0" w:line="276"/>
        <w:jc w:val="both"/>
      </w:pPr>
      <w:r>
        <w:rPr>
          <w:rFonts w:ascii="Arial" w:cs="Arial" w:eastAsia="Arial" w:hAnsi="Arial"/>
          <w:color w:val="1A1A2E"/>
          <w:sz w:val="22"/>
          <w:szCs w:val="22"/>
        </w:rPr>
        <w:t xml:space="preserve">Examples of derived intelligence from the energy domain alone: appliance-level disaggregation from whole-home energy monitoring (identifying individual device consumption from aggregate power readings, the technique that Bidgely sells to utilities at scale), load prediction models that forecast consumption 24 to 48 hours ahead based on historical patterns and weather data, anomaly detection that identifies devices consuming more power than their historical baseline (indicating maintenance need or failure), and solar production forecasting from inverter telemetry combined with local weather.</w:t>
      </w:r>
    </w:p>
    <w:p>
      <w:pPr>
        <w:spacing w:after="180" w:before="0" w:line="276"/>
        <w:jc w:val="both"/>
      </w:pPr>
      <w:r>
        <w:rPr>
          <w:rFonts w:ascii="Arial" w:cs="Arial" w:eastAsia="Arial" w:hAnsi="Arial"/>
          <w:color w:val="1A1A2E"/>
          <w:sz w:val="22"/>
          <w:szCs w:val="22"/>
        </w:rPr>
        <w:t xml:space="preserve">From the home operations domain: occupancy pattern learning (when the home is typically occupied, by how many people, in which rooms), device reliability scoring (mean time between failures, degradation trends, replacement forecasting), automation effectiveness measurement (did this automation actually reduce energy consumption or improve comfort?), and seasonal behavioral profiling (how the household’s patterns shift between summer and winter).</w:t>
      </w:r>
    </w:p>
    <w:p>
      <w:pPr>
        <w:spacing w:after="180" w:before="0" w:line="276"/>
        <w:jc w:val="both"/>
      </w:pPr>
      <w:r>
        <w:rPr>
          <w:rFonts w:ascii="Arial" w:cs="Arial" w:eastAsia="Arial" w:hAnsi="Arial"/>
          <w:b/>
          <w:bCs/>
          <w:color w:val="1A1A2E"/>
          <w:sz w:val="22"/>
          <w:szCs w:val="22"/>
        </w:rPr>
        <w:t xml:space="preserve">Value to the user: </w:t>
      </w:r>
      <w:r>
        <w:rPr>
          <w:rFonts w:ascii="Arial" w:cs="Arial" w:eastAsia="Arial" w:hAnsi="Arial"/>
          <w:color w:val="1A1A2E"/>
          <w:sz w:val="22"/>
          <w:szCs w:val="22"/>
        </w:rPr>
        <w:t xml:space="preserve">Smarter automations, energy savings recommendations, predictive maintenance alerts, personalized comfort optimization. This is the “the system gets smarter over time” experience that justifies the HomeSynapse Cloud Pro subscription tier.</w:t>
      </w:r>
    </w:p>
    <w:p>
      <w:pPr>
        <w:spacing w:after="180" w:before="0" w:line="276"/>
        <w:jc w:val="both"/>
      </w:pPr>
      <w:r>
        <w:rPr>
          <w:rFonts w:ascii="Arial" w:cs="Arial" w:eastAsia="Arial" w:hAnsi="Arial"/>
          <w:b/>
          <w:bCs/>
          <w:color w:val="1A1A2E"/>
          <w:sz w:val="22"/>
          <w:szCs w:val="22"/>
        </w:rPr>
        <w:t xml:space="preserve">Value to NexSys: </w:t>
      </w:r>
      <w:r>
        <w:rPr>
          <w:rFonts w:ascii="Arial" w:cs="Arial" w:eastAsia="Arial" w:hAnsi="Arial"/>
          <w:color w:val="1A1A2E"/>
          <w:sz w:val="22"/>
          <w:szCs w:val="22"/>
        </w:rPr>
        <w:t xml:space="preserve">Cloud Pro subscription revenue ($14.99/month). The advanced analytics package is the upsell from Connect to Pro. More importantly, this layer creates the derived datasets that power Layer 3.</w:t>
      </w:r>
    </w:p>
    <w:p>
      <w:pPr>
        <w:pStyle w:val="Heading2"/>
      </w:pPr>
      <w:r>
        <w:t xml:space="preserve">Layer 3: Composite Intelligence (Data Fusion)</w:t>
      </w:r>
    </w:p>
    <w:p>
      <w:pPr>
        <w:spacing w:after="180" w:before="0" w:line="276"/>
        <w:jc w:val="both"/>
      </w:pPr>
      <w:r>
        <w:rPr>
          <w:rFonts w:ascii="Arial" w:cs="Arial" w:eastAsia="Arial" w:hAnsi="Arial"/>
          <w:color w:val="1A1A2E"/>
          <w:sz w:val="22"/>
          <w:szCs w:val="22"/>
        </w:rPr>
        <w:t xml:space="preserve">This is where HomeSynapse’s unified event model becomes a genuine competitive moat. Composite intelligence is produced by fusing multiple derived intelligence streams to create insights that no individual stream could generate. This is the mechanism the data brokerage industry calls “data complementarity” — the property that datasets gain meaningfulness when combined, producing locally increasing returns to scale. Academic research confirms that this effect is superadditive: the combined value exceeds the sum of the parts.</w:t>
      </w:r>
    </w:p>
    <w:p>
      <w:pPr>
        <w:spacing w:after="180" w:before="0" w:line="276"/>
        <w:jc w:val="both"/>
      </w:pPr>
      <w:r>
        <w:rPr>
          <w:rFonts w:ascii="Arial" w:cs="Arial" w:eastAsia="Arial" w:hAnsi="Arial"/>
          <w:color w:val="1A1A2E"/>
          <w:sz w:val="22"/>
          <w:szCs w:val="22"/>
        </w:rPr>
        <w:t xml:space="preserve">The specific fusions that HomeSynapse enables are extraordinary because they all occur within a single unified data model on a single device. No data brokerage firm in the world can produce these combinations at the household level, because no firm has access to all the underlying streams simultaneously:</w:t>
      </w:r>
    </w:p>
    <w:p>
      <w:pPr>
        <w:spacing w:after="180" w:before="0" w:line="276"/>
        <w:jc w:val="both"/>
      </w:pPr>
      <w:r>
        <w:rPr>
          <w:rFonts w:ascii="Arial" w:cs="Arial" w:eastAsia="Arial" w:hAnsi="Arial"/>
          <w:b/>
          <w:bCs/>
          <w:color w:val="1A1A2E"/>
          <w:sz w:val="22"/>
          <w:szCs w:val="22"/>
        </w:rPr>
        <w:t xml:space="preserve">Energy + Occupancy + Weather → Behavioral Energy Profile. </w:t>
      </w:r>
      <w:r>
        <w:rPr>
          <w:rFonts w:ascii="Arial" w:cs="Arial" w:eastAsia="Arial" w:hAnsi="Arial"/>
          <w:color w:val="1A1A2E"/>
          <w:sz w:val="22"/>
          <w:szCs w:val="22"/>
        </w:rPr>
        <w:t xml:space="preserve">Combining per-circuit energy consumption, room-level occupancy from motion and presence sensors, and external weather data produces a behavioral energy model that predicts not just how much energy the home will consume, but why. This profile is worth $50–150 per household per year to utilities for demand response planning, to energy retailers for tariff optimization, and to grid operators for capacity forecasting. Bidgely sells a simplified version of this (without the occupancy or automation components) and quadrupled their grid product revenue in 2024.</w:t>
      </w:r>
    </w:p>
    <w:p>
      <w:pPr>
        <w:spacing w:after="180" w:before="0" w:line="276"/>
        <w:jc w:val="both"/>
      </w:pPr>
      <w:r>
        <w:rPr>
          <w:rFonts w:ascii="Arial" w:cs="Arial" w:eastAsia="Arial" w:hAnsi="Arial"/>
          <w:b/>
          <w:bCs/>
          <w:color w:val="1A1A2E"/>
          <w:sz w:val="22"/>
          <w:szCs w:val="22"/>
        </w:rPr>
        <w:t xml:space="preserve">Device Reliability + Occupancy + Environmental Sensors → Home Health Score. </w:t>
      </w:r>
      <w:r>
        <w:rPr>
          <w:rFonts w:ascii="Arial" w:cs="Arial" w:eastAsia="Arial" w:hAnsi="Arial"/>
          <w:color w:val="1A1A2E"/>
          <w:sz w:val="22"/>
          <w:szCs w:val="22"/>
        </w:rPr>
        <w:t xml:space="preserve">A single 0–100 number that captures the operational health of the home: are all sensors functional? Are devices degrading? Is the HVAC cycling abnormally? Are there water leak risks based on humidity and pipe temperature? Is the air quality within safe ranges? This score is transformative for insurance (Verisk sells 270+ property data points per property and generates $3.07 billion in annual revenue), for property valuation (CoreLogic/Cotality covers 99.9% of U.S. properties), and for home sales (the unified home model described in Phase 5 of the growth roadmap).</w:t>
      </w:r>
    </w:p>
    <w:p>
      <w:pPr>
        <w:spacing w:after="180" w:before="0" w:line="276"/>
        <w:jc w:val="both"/>
      </w:pPr>
      <w:r>
        <w:rPr>
          <w:rFonts w:ascii="Arial" w:cs="Arial" w:eastAsia="Arial" w:hAnsi="Arial"/>
          <w:b/>
          <w:bCs/>
          <w:color w:val="1A1A2E"/>
          <w:sz w:val="22"/>
          <w:szCs w:val="22"/>
        </w:rPr>
        <w:t xml:space="preserve">Activity Patterns + Environmental Data + Device Events → Wellness Baseline. </w:t>
      </w:r>
      <w:r>
        <w:rPr>
          <w:rFonts w:ascii="Arial" w:cs="Arial" w:eastAsia="Arial" w:hAnsi="Arial"/>
          <w:color w:val="1A1A2E"/>
          <w:sz w:val="22"/>
          <w:szCs w:val="22"/>
        </w:rPr>
        <w:t xml:space="preserve">For aging-in-place monitoring, combining motion sensor activity patterns, environmental sensor readings (temperature, humidity, air quality), and appliance usage patterns (stove, microwave, coffee maker, TV) creates a behavioral baseline that detects anomalies indicating health changes — without cameras, without wearables, and without raw data ever leaving the home. Medicare RPM reimbursement provides $168–190 per month per patient for this kind of monitoring.</w:t>
      </w:r>
    </w:p>
    <w:p>
      <w:pPr>
        <w:spacing w:after="180" w:before="0" w:line="276"/>
        <w:jc w:val="both"/>
      </w:pPr>
      <w:r>
        <w:rPr>
          <w:rFonts w:ascii="Arial" w:cs="Arial" w:eastAsia="Arial" w:hAnsi="Arial"/>
          <w:b/>
          <w:bCs/>
          <w:color w:val="1A1A2E"/>
          <w:sz w:val="22"/>
          <w:szCs w:val="22"/>
        </w:rPr>
        <w:t xml:space="preserve">Energy + Grid Signals + Battery/EV State → VPP Dispatch Optimization. </w:t>
      </w:r>
      <w:r>
        <w:rPr>
          <w:rFonts w:ascii="Arial" w:cs="Arial" w:eastAsia="Arial" w:hAnsi="Arial"/>
          <w:color w:val="1A1A2E"/>
          <w:sz w:val="22"/>
          <w:szCs w:val="22"/>
        </w:rPr>
        <w:t xml:space="preserve">Combining real-time energy production and consumption, wholesale energy market price signals, battery state of charge, EV charging schedules, and household comfort preferences creates a dispatch optimization engine that maximizes VPP revenue while respecting user constraints. At 50K enrolled homes, the platform fee on VPP revenue generates $2.25–$5M annually.</w:t>
      </w:r>
    </w:p>
    <w:p>
      <w:pPr>
        <w:spacing w:after="180" w:before="0" w:line="276"/>
        <w:jc w:val="both"/>
      </w:pPr>
      <w:r>
        <w:rPr>
          <w:rFonts w:ascii="Arial" w:cs="Arial" w:eastAsia="Arial" w:hAnsi="Arial"/>
          <w:b/>
          <w:bCs/>
          <w:color w:val="1A1A2E"/>
          <w:sz w:val="22"/>
          <w:szCs w:val="22"/>
        </w:rPr>
        <w:t xml:space="preserve">Value to the user: </w:t>
      </w:r>
      <w:r>
        <w:rPr>
          <w:rFonts w:ascii="Arial" w:cs="Arial" w:eastAsia="Arial" w:hAnsi="Arial"/>
          <w:color w:val="1A1A2E"/>
          <w:sz w:val="22"/>
          <w:szCs w:val="22"/>
        </w:rPr>
        <w:t xml:space="preserve">Direct financial returns (VPP payments, insurance discounts averaging 5–25% of premiums), health safety (anomaly alerts for aging parents), convenience (predictive maintenance prevents breakdowns), and property value preservation (documented home health history increases resale value).</w:t>
      </w:r>
    </w:p>
    <w:p>
      <w:pPr>
        <w:spacing w:after="180" w:before="0" w:line="276"/>
        <w:jc w:val="both"/>
      </w:pPr>
      <w:r>
        <w:rPr>
          <w:rFonts w:ascii="Arial" w:cs="Arial" w:eastAsia="Arial" w:hAnsi="Arial"/>
          <w:b/>
          <w:bCs/>
          <w:color w:val="1A1A2E"/>
          <w:sz w:val="22"/>
          <w:szCs w:val="22"/>
        </w:rPr>
        <w:t xml:space="preserve">Value to NexSys: </w:t>
      </w:r>
      <w:r>
        <w:rPr>
          <w:rFonts w:ascii="Arial" w:cs="Arial" w:eastAsia="Arial" w:hAnsi="Arial"/>
          <w:color w:val="1A1A2E"/>
          <w:sz w:val="22"/>
          <w:szCs w:val="22"/>
        </w:rPr>
        <w:t xml:space="preserve">This layer powers the entire B2B product suite: NexSys Grid, NexSys Assure, NexSys Care, and the future property intelligence products. Combined revenue at the 200K-home maturity scenario: $14.5–$21.5M annually from institutional products alone.</w:t>
      </w:r>
    </w:p>
    <w:p>
      <w:pPr>
        <w:pStyle w:val="Heading2"/>
      </w:pPr>
      <w:r>
        <w:t xml:space="preserve">Layer 4: Institutional Data Products</w:t>
      </w:r>
    </w:p>
    <w:p>
      <w:pPr>
        <w:spacing w:after="180" w:before="0" w:line="276"/>
        <w:jc w:val="both"/>
      </w:pPr>
      <w:r>
        <w:rPr>
          <w:rFonts w:ascii="Arial" w:cs="Arial" w:eastAsia="Arial" w:hAnsi="Arial"/>
          <w:color w:val="1A1A2E"/>
          <w:sz w:val="22"/>
          <w:szCs w:val="22"/>
        </w:rPr>
        <w:t xml:space="preserve">The fourth layer transforms composite intelligence into standardized institutional products delivered through the Data Sovereignty API. The critical distinction: the institution never receives raw event data. It receives structured outputs — attestations, aggregated summaries, compliance proofs, dispatch confirmations — that the homeowner has explicitly authorized.</w:t>
      </w:r>
    </w:p>
    <w:p>
      <w:pPr>
        <w:spacing w:after="180" w:before="0" w:line="276"/>
        <w:jc w:val="both"/>
      </w:pPr>
      <w:r>
        <w:rPr>
          <w:rFonts w:ascii="Arial" w:cs="Arial" w:eastAsia="Arial" w:hAnsi="Arial"/>
          <w:color w:val="1A1A2E"/>
          <w:sz w:val="22"/>
          <w:szCs w:val="22"/>
        </w:rPr>
        <w:t xml:space="preserve">Each institutional product is a different query pattern on the same underlying event log, mediated through the same consent framework. NexSys Grid delivers verified demand response participation confirmations to utilities via OpenADR 3.x. NexSys Assure delivers cryptographically signed home health attestations to insurers. NexSys Care delivers privacy-respecting wellness summaries compatible with FHIR/HL7 and Medicare CPT billing codes. HomeSynapse Property delivers occupancy and energy benchmarks for multi-dwelling unit managers. And the future property intelligence product delivers documented home health histories for real estate transactions.</w:t>
      </w:r>
    </w:p>
    <w:p>
      <w:pPr>
        <w:spacing w:after="180" w:before="0" w:line="276"/>
        <w:jc w:val="both"/>
      </w:pPr>
      <w:r>
        <w:rPr>
          <w:rFonts w:ascii="Arial" w:cs="Arial" w:eastAsia="Arial" w:hAnsi="Arial"/>
          <w:color w:val="1A1A2E"/>
          <w:sz w:val="22"/>
          <w:szCs w:val="22"/>
        </w:rPr>
        <w:t xml:space="preserve">The institutional products are priced not by data volume but by outcome value. The insurer pays $2–5/month per home because the attestation enables them to reduce claims costs (smart home sensors reduce claims by up to 25%, with water damage claims alone averaging $14,000 each). The utility pays a 15–20% platform fee on VPP revenue because the aggregation middleware enables them to access distributed energy resources they cannot reach through any single-vendor solution. The healthcare provider pays $29–49/month because the RPM monitoring generates Medicare reimbursement of $168–190/month per patient.</w:t>
      </w:r>
    </w:p>
    <w:p>
      <w:pPr>
        <w:spacing w:after="180" w:before="0" w:line="276"/>
        <w:jc w:val="both"/>
      </w:pPr>
      <w:r>
        <w:rPr>
          <w:rFonts w:ascii="Arial" w:cs="Arial" w:eastAsia="Arial" w:hAnsi="Arial"/>
          <w:b/>
          <w:bCs/>
          <w:color w:val="1A1A2E"/>
          <w:sz w:val="22"/>
          <w:szCs w:val="22"/>
        </w:rPr>
        <w:t xml:space="preserve">Value to the user: </w:t>
      </w:r>
      <w:r>
        <w:rPr>
          <w:rFonts w:ascii="Arial" w:cs="Arial" w:eastAsia="Arial" w:hAnsi="Arial"/>
          <w:color w:val="1A1A2E"/>
          <w:sz w:val="22"/>
          <w:szCs w:val="22"/>
        </w:rPr>
        <w:t xml:space="preserve">Every institutional product creates direct financial benefit for the homeowner. VPP payments put money in their account. Insurance attestations reduce their premiums. Care monitoring keeps their family safe. The user is not the product being sold. The user is a participant in a value network where their data (shared on their terms) creates measurable returns.</w:t>
      </w:r>
    </w:p>
    <w:p>
      <w:pPr>
        <w:pStyle w:val="Heading2"/>
      </w:pPr>
      <w:r>
        <w:t xml:space="preserve">Layer 5: Network Intelligence (Population-Level)</w:t>
      </w:r>
    </w:p>
    <w:p>
      <w:pPr>
        <w:spacing w:after="180" w:before="0" w:line="276"/>
        <w:jc w:val="both"/>
      </w:pPr>
      <w:r>
        <w:rPr>
          <w:rFonts w:ascii="Arial" w:cs="Arial" w:eastAsia="Arial" w:hAnsi="Arial"/>
          <w:color w:val="1A1A2E"/>
          <w:sz w:val="22"/>
          <w:szCs w:val="22"/>
        </w:rPr>
        <w:t xml:space="preserve">The fifth and final layer emerges only at scale: population-level intelligence derived from aggregated, anonymized patterns across thousands of HomeSynapse installations. This is where NexSys becomes an infrastructure company in the fullest sense — not by selling individual home data, but by observing emergent patterns that are invisible at the household level and invaluable at the population level.</w:t>
      </w:r>
    </w:p>
    <w:p>
      <w:pPr>
        <w:spacing w:after="180" w:before="0" w:line="276"/>
        <w:jc w:val="both"/>
      </w:pPr>
      <w:r>
        <w:rPr>
          <w:rFonts w:ascii="Arial" w:cs="Arial" w:eastAsia="Arial" w:hAnsi="Arial"/>
          <w:color w:val="1A1A2E"/>
          <w:sz w:val="22"/>
          <w:szCs w:val="22"/>
        </w:rPr>
        <w:t xml:space="preserve">At 50,000+ installations with energy monitoring, NexSys has visibility into real-time residential energy consumption and production patterns across geographic regions, device types, building vintages, and household profiles — at a granularity that no utility, no grid operator, and no energy market participant can match. This is not individual home data. It is statistical intelligence about residential energy behavior that is useful for grid planning, rate design, infrastructure investment, and market forecasting.</w:t>
      </w:r>
    </w:p>
    <w:p>
      <w:pPr>
        <w:spacing w:after="180" w:before="0" w:line="276"/>
        <w:jc w:val="both"/>
      </w:pPr>
      <w:r>
        <w:rPr>
          <w:rFonts w:ascii="Arial" w:cs="Arial" w:eastAsia="Arial" w:hAnsi="Arial"/>
          <w:color w:val="1A1A2E"/>
          <w:sz w:val="22"/>
          <w:szCs w:val="22"/>
        </w:rPr>
        <w:t xml:space="preserve">At 100,000+ installations with device diversity, NexSys has the largest dataset of real-world smart home device reliability in existence. Mean time between failures for thousands of device models, firmware version correlation with failure rates, environmental condition impacts on device longevity. This intelligence is enormously valuable to device manufacturers (product quality improvement), to retailers (warranty cost prediction), and to standards bodies (informing certification requirements).</w:t>
      </w:r>
    </w:p>
    <w:p>
      <w:pPr>
        <w:spacing w:after="180" w:before="0" w:line="276"/>
        <w:jc w:val="both"/>
      </w:pPr>
      <w:r>
        <w:rPr>
          <w:rFonts w:ascii="Arial" w:cs="Arial" w:eastAsia="Arial" w:hAnsi="Arial"/>
          <w:color w:val="1A1A2E"/>
          <w:sz w:val="22"/>
          <w:szCs w:val="22"/>
        </w:rPr>
        <w:t xml:space="preserve">The privacy model for population-level intelligence is differential privacy: statistical patterns are derived from aggregated datasets where no individual home’s data is identifiable or extractable. The user’s consent for population participation is separate from, and independent of, any institutional product consent. And the population intelligence revenue model is separate from the institutional product revenue — it flows to NexSys as platform operator, not through the Data Sovereignty API.</w:t>
      </w:r>
    </w:p>
    <w:p>
      <w:pPr>
        <w:pBdr>
          <w:bottom w:val="single" w:color="3FA6C9" w:sz="4" w:space="8"/>
        </w:pBdr>
        <w:spacing w:after="300" w:before="300"/>
      </w:pPr>
    </w:p>
    <w:p>
      <w:pPr>
        <w:pStyle w:val="Heading1"/>
      </w:pPr>
      <w:r>
        <w:t xml:space="preserve">Part Three: Phase-by-Phase Data Value Strategy</w:t>
      </w:r>
    </w:p>
    <w:p>
      <w:pPr>
        <w:spacing w:after="180" w:before="0" w:line="276"/>
        <w:jc w:val="both"/>
      </w:pPr>
      <w:r>
        <w:rPr>
          <w:rFonts w:ascii="Arial" w:cs="Arial" w:eastAsia="Arial" w:hAnsi="Arial"/>
          <w:color w:val="1A1A2E"/>
          <w:sz w:val="22"/>
          <w:szCs w:val="22"/>
        </w:rPr>
        <w:t xml:space="preserve">The following strategy maps data value creation onto the existing four-phase growth roadmap. The critical principle: every phase builds data assets that compound in subsequent phases. No phase requires architectural rework. The event-sourced architecture was designed — whether intentionally or by emergent consequence — to support exactly this evolution.</w:t>
      </w:r>
    </w:p>
    <w:p>
      <w:pPr>
        <w:pStyle w:val="Heading2"/>
      </w:pPr>
      <w:r>
        <w:t xml:space="preserve">Phase 1: Foundation (Year 1) — Instrument Everything, Monetize Nothing</w:t>
      </w:r>
    </w:p>
    <w:p>
      <w:pPr>
        <w:spacing w:after="180" w:before="0" w:line="276"/>
        <w:jc w:val="both"/>
      </w:pPr>
      <w:r>
        <w:rPr>
          <w:rFonts w:ascii="Arial" w:cs="Arial" w:eastAsia="Arial" w:hAnsi="Arial"/>
          <w:b/>
          <w:bCs/>
          <w:i/>
          <w:iCs/>
          <w:color w:val="1A1A2E"/>
          <w:sz w:val="22"/>
          <w:szCs w:val="22"/>
        </w:rPr>
        <w:t xml:space="preserve">Strategic posture: </w:t>
      </w:r>
      <w:r>
        <w:rPr>
          <w:rFonts w:ascii="Arial" w:cs="Arial" w:eastAsia="Arial" w:hAnsi="Arial"/>
          <w:color w:val="1A1A2E"/>
          <w:sz w:val="22"/>
          <w:szCs w:val="22"/>
        </w:rPr>
        <w:t xml:space="preserve">Build the most complete, structured, trustworthy record of home behavior ever created. Do not attempt to extract value from data in this phase. Focus entirely on making the data correct, complete, and useful to the homeowner.</w:t>
      </w:r>
    </w:p>
    <w:p>
      <w:pPr>
        <w:spacing w:after="180" w:before="0" w:line="276"/>
        <w:jc w:val="both"/>
      </w:pPr>
      <w:r>
        <w:rPr>
          <w:rFonts w:ascii="Arial" w:cs="Arial" w:eastAsia="Arial" w:hAnsi="Arial"/>
          <w:color w:val="1A1A2E"/>
          <w:sz w:val="22"/>
          <w:szCs w:val="22"/>
        </w:rPr>
        <w:t xml:space="preserve">The MVP ships with Zigbee support covering 30–50 devices: lights, switches, plugs, motion sensors, contact sensors, temperature and humidity sensors, and — critically — power monitoring devices. The locked decision to make energy monitoring the first-run experience (not lightbulbs) is strategically important beyond user engagement. It means that from day one, every HomeSynapse installation generates high-frequency energy telemetry alongside discrete device state events.</w:t>
      </w:r>
    </w:p>
    <w:p>
      <w:pPr>
        <w:spacing w:after="180" w:before="0" w:line="276"/>
        <w:jc w:val="both"/>
      </w:pPr>
      <w:r>
        <w:rPr>
          <w:rFonts w:ascii="Arial" w:cs="Arial" w:eastAsia="Arial" w:hAnsi="Arial"/>
          <w:color w:val="1A1A2E"/>
          <w:sz w:val="22"/>
          <w:szCs w:val="22"/>
        </w:rPr>
        <w:t xml:space="preserve">The high-frequency data strategy already defined in the architecture is the enabler. Per-second energy readings flow through the dedicated telemetry path to optimized columnar storage, while semantic energy events (threshold crossings, anomalies, aggregated summaries) flow through the standard event bus. The dual-path architecture means the system captures data at full fidelity without overwhelming the event bus or storage layer.</w:t>
      </w:r>
    </w:p>
    <w:p>
      <w:pPr>
        <w:spacing w:after="180" w:before="0" w:line="276"/>
        <w:jc w:val="both"/>
      </w:pPr>
      <w:r>
        <w:rPr>
          <w:rFonts w:ascii="Arial" w:cs="Arial" w:eastAsia="Arial" w:hAnsi="Arial"/>
          <w:b/>
          <w:bCs/>
          <w:color w:val="1A1A2E"/>
          <w:sz w:val="22"/>
          <w:szCs w:val="22"/>
        </w:rPr>
        <w:t xml:space="preserve">Data assets created in Phase 1:</w:t>
      </w:r>
    </w:p>
    <w:p>
      <w:pPr>
        <w:spacing w:after="180" w:before="0" w:line="276"/>
        <w:jc w:val="both"/>
      </w:pPr>
      <w:r>
        <w:rPr>
          <w:rFonts w:ascii="Arial" w:cs="Arial" w:eastAsia="Arial" w:hAnsi="Arial"/>
          <w:color w:val="1A1A2E"/>
          <w:sz w:val="22"/>
          <w:szCs w:val="22"/>
        </w:rPr>
        <w:t xml:space="preserve">First, the device state history: a complete record of every state change for every device, with causal chains linking triggers to actions. This history becomes the training data for the AI personalization that differentiates HomeSynapse from every competitor. Second, the energy consumption baseline: per-circuit, per-device power consumption patterns over weeks and months, capturing daily rhythms, weekday/weekend variation, and seasonal trends. This baseline is worth nothing in Phase 1 but becomes the foundation for every energy product in Phase 2. Third, the device reliability dataset: time-to-first-failure, failure-and-recovery patterns, firmware correlations, and environmental condition impacts for every device model in the installed base. This dataset grows more valuable with every installation and every month of operation.</w:t>
      </w:r>
    </w:p>
    <w:p>
      <w:pPr>
        <w:spacing w:after="180" w:before="0" w:line="276"/>
        <w:jc w:val="both"/>
      </w:pPr>
      <w:r>
        <w:rPr>
          <w:rFonts w:ascii="Arial" w:cs="Arial" w:eastAsia="Arial" w:hAnsi="Arial"/>
          <w:b/>
          <w:bCs/>
          <w:color w:val="1A1A2E"/>
          <w:sz w:val="22"/>
          <w:szCs w:val="22"/>
        </w:rPr>
        <w:t xml:space="preserve">Design requirements for Phase 1 that enable future data value:</w:t>
      </w:r>
    </w:p>
    <w:p>
      <w:pPr>
        <w:spacing w:after="180" w:before="0" w:line="276"/>
        <w:jc w:val="both"/>
      </w:pPr>
      <w:r>
        <w:rPr>
          <w:rFonts w:ascii="Arial" w:cs="Arial" w:eastAsia="Arial" w:hAnsi="Arial"/>
          <w:color w:val="1A1A2E"/>
          <w:sz w:val="22"/>
          <w:szCs w:val="22"/>
        </w:rPr>
        <w:t xml:space="preserve">The Data Sovereignty API does not need to be implemented in Phase 1, but its data model contracts must be designed. Specifically, the event type taxonomy must include category tags that the future consent framework can use to scope access grants: “energy” events, “presence” events, “device_health” events, “automation” events. If these categories are not embedded in the event schema from the start, retroactively categorizing millions of historical events becomes an expensive migration. The architecture already defines a rich event type taxonomy; the addition is ensuring that every event type maps to one or more consent-scope categories.</w:t>
      </w:r>
    </w:p>
    <w:p>
      <w:pPr>
        <w:spacing w:after="180" w:before="0" w:line="276"/>
        <w:jc w:val="both"/>
      </w:pPr>
      <w:r>
        <w:rPr>
          <w:rFonts w:ascii="Arial" w:cs="Arial" w:eastAsia="Arial" w:hAnsi="Arial"/>
          <w:color w:val="1A1A2E"/>
          <w:sz w:val="22"/>
          <w:szCs w:val="22"/>
        </w:rPr>
        <w:t xml:space="preserve">Similarly, the telemetry aggregation engine must produce standardized aggregate formats from Phase 1 — hourly energy summaries, daily device reliability snapshots, weekly operational summaries — even if no external consumer uses them yet. These aggregates are what institutional products will eventually consume. Building them into the standard runtime from the start means they are battle-tested on real data before any institutional partner relies on them.</w:t>
      </w:r>
    </w:p>
    <w:p>
      <w:pPr>
        <w:pStyle w:val="Heading2"/>
      </w:pPr>
      <w:r>
        <w:t xml:space="preserve">Phase 2: Competitive Proof (Year 1–2) — Energy Data as the Beachhead</w:t>
      </w:r>
    </w:p>
    <w:p>
      <w:pPr>
        <w:spacing w:after="180" w:before="0" w:line="276"/>
        <w:jc w:val="both"/>
      </w:pPr>
      <w:r>
        <w:rPr>
          <w:rFonts w:ascii="Arial" w:cs="Arial" w:eastAsia="Arial" w:hAnsi="Arial"/>
          <w:b/>
          <w:bCs/>
          <w:i/>
          <w:iCs/>
          <w:color w:val="1A1A2E"/>
          <w:sz w:val="22"/>
          <w:szCs w:val="22"/>
        </w:rPr>
        <w:t xml:space="preserve">Strategic posture: </w:t>
      </w:r>
      <w:r>
        <w:rPr>
          <w:rFonts w:ascii="Arial" w:cs="Arial" w:eastAsia="Arial" w:hAnsi="Arial"/>
          <w:color w:val="1A1A2E"/>
          <w:sz w:val="22"/>
          <w:szCs w:val="22"/>
        </w:rPr>
        <w:t xml:space="preserve">Demonstrate that HomeSynapse’s data architecture creates measurable financial value for the homeowner through energy optimization. Prototype the Data Sovereignty API. Begin utility conversations with real data examples.</w:t>
      </w:r>
    </w:p>
    <w:p>
      <w:pPr>
        <w:spacing w:after="180" w:before="0" w:line="276"/>
        <w:jc w:val="both"/>
      </w:pPr>
      <w:r>
        <w:rPr>
          <w:rFonts w:ascii="Arial" w:cs="Arial" w:eastAsia="Arial" w:hAnsi="Arial"/>
          <w:color w:val="1A1A2E"/>
          <w:sz w:val="22"/>
          <w:szCs w:val="22"/>
        </w:rPr>
        <w:t xml:space="preserve">Phase 2 adds Z-Wave, Matter/Thread, and — critically — energy-specific protocol support: MQTT for energy monitors and inverters, Modbus for battery systems, OCPP for EV chargers. The energy dashboard becomes the primary consumer-facing proof point: “HomeSynapse saved me $X this month.”</w:t>
      </w:r>
    </w:p>
    <w:p>
      <w:pPr>
        <w:spacing w:after="180" w:before="0" w:line="276"/>
        <w:jc w:val="both"/>
      </w:pPr>
      <w:r>
        <w:rPr>
          <w:rFonts w:ascii="Arial" w:cs="Arial" w:eastAsia="Arial" w:hAnsi="Arial"/>
          <w:color w:val="1A1A2E"/>
          <w:sz w:val="22"/>
          <w:szCs w:val="22"/>
        </w:rPr>
        <w:t xml:space="preserve">This is where the data value strategy intersects with the competitive strategy. Home Assistant does not have an energy-optimized data pipeline. Google Home and Alexa collect energy data but use it for their own analytics, not for the homeowner’s benefit. HomeSynapse is the only platform where the homeowner owns a complete, structured, exportable energy dataset — and where that dataset is being actively used to optimize their consumption and prepare them for VPP enrollment.</w:t>
      </w:r>
    </w:p>
    <w:p>
      <w:pPr>
        <w:spacing w:after="180" w:before="0" w:line="276"/>
        <w:jc w:val="both"/>
      </w:pPr>
      <w:r>
        <w:rPr>
          <w:rFonts w:ascii="Arial" w:cs="Arial" w:eastAsia="Arial" w:hAnsi="Arial"/>
          <w:b/>
          <w:bCs/>
          <w:color w:val="1A1A2E"/>
          <w:sz w:val="22"/>
          <w:szCs w:val="22"/>
        </w:rPr>
        <w:t xml:space="preserve">New data streams activated in Phase 2:</w:t>
      </w:r>
    </w:p>
    <w:p>
      <w:pPr>
        <w:spacing w:after="180" w:before="0" w:line="276"/>
        <w:jc w:val="both"/>
      </w:pPr>
      <w:r>
        <w:rPr>
          <w:rFonts w:ascii="Arial" w:cs="Arial" w:eastAsia="Arial" w:hAnsi="Arial"/>
          <w:color w:val="1A1A2E"/>
          <w:sz w:val="22"/>
          <w:szCs w:val="22"/>
        </w:rPr>
        <w:t xml:space="preserve">Solar production telemetry from inverter integrations. Battery state-of-charge time series from storage system integrations. EV charging session data from charger integrations. Whole-home and per-circuit energy disaggregation (the same technique that Bidgely sells to utilities). Multi-protocol device mesh health data from Z-Wave and Thread networks. Presence detection signals (probabilistic, with confidence scoring) from network-based detection.</w:t>
      </w:r>
    </w:p>
    <w:p>
      <w:pPr>
        <w:spacing w:after="180" w:before="0" w:line="276"/>
        <w:jc w:val="both"/>
      </w:pPr>
      <w:r>
        <w:rPr>
          <w:rFonts w:ascii="Arial" w:cs="Arial" w:eastAsia="Arial" w:hAnsi="Arial"/>
          <w:b/>
          <w:bCs/>
          <w:color w:val="1A1A2E"/>
          <w:sz w:val="22"/>
          <w:szCs w:val="22"/>
        </w:rPr>
        <w:t xml:space="preserve">Data Sovereignty API prototype:</w:t>
      </w:r>
    </w:p>
    <w:p>
      <w:pPr>
        <w:spacing w:after="180" w:before="0" w:line="276"/>
        <w:jc w:val="both"/>
      </w:pPr>
      <w:r>
        <w:rPr>
          <w:rFonts w:ascii="Arial" w:cs="Arial" w:eastAsia="Arial" w:hAnsi="Arial"/>
          <w:color w:val="1A1A2E"/>
          <w:sz w:val="22"/>
          <w:szCs w:val="22"/>
        </w:rPr>
        <w:t xml:space="preserve">In Phase 2, the Data Sovereignty API should exist as a working internal prototype with three initial consent scopes: energy-summary (hourly/daily/monthly aggregated consumption and production data), device-health (operational status of registered devices, no behavioral data), and automation-summary (automation execution counts and success rates, no trigger details). The prototype does not need to be exposed to external partners. It needs to be running internally so that the scoping model, the consent UI, and the data transformation pipeline are tested against real data before any institutional partner depends on them.</w:t>
      </w:r>
    </w:p>
    <w:p>
      <w:pPr>
        <w:spacing w:after="180" w:before="0" w:line="276"/>
        <w:jc w:val="both"/>
      </w:pPr>
      <w:r>
        <w:rPr>
          <w:rFonts w:ascii="Arial" w:cs="Arial" w:eastAsia="Arial" w:hAnsi="Arial"/>
          <w:color w:val="1A1A2E"/>
          <w:sz w:val="22"/>
          <w:szCs w:val="22"/>
        </w:rPr>
        <w:t xml:space="preserve">The Green Button Connect My Data protocol should be implemented as part of the energy integration work. This XML-based standard for utility data portability, covering 60+ million homes across nearly all 50 U.S. states, provides two strategic benefits: it allows HomeSynapse to ingest the homeowner’s historical utility data (enriching the energy baseline with pre-installation consumption patterns), and it establishes HomeSynapse as a standards-compliant energy data platform that utilities can trust.</w:t>
      </w:r>
    </w:p>
    <w:p>
      <w:pPr>
        <w:pStyle w:val="Heading2"/>
      </w:pPr>
      <w:r>
        <w:t xml:space="preserve">Phase 3: Expand the Trust Surface (Years 2–5) — Institutional Products Launch</w:t>
      </w:r>
    </w:p>
    <w:p>
      <w:pPr>
        <w:spacing w:after="180" w:before="0" w:line="276"/>
        <w:jc w:val="both"/>
      </w:pPr>
      <w:r>
        <w:rPr>
          <w:rFonts w:ascii="Arial" w:cs="Arial" w:eastAsia="Arial" w:hAnsi="Arial"/>
          <w:b/>
          <w:bCs/>
          <w:i/>
          <w:iCs/>
          <w:color w:val="1A1A2E"/>
          <w:sz w:val="22"/>
          <w:szCs w:val="22"/>
        </w:rPr>
        <w:t xml:space="preserve">Strategic posture: </w:t>
      </w:r>
      <w:r>
        <w:rPr>
          <w:rFonts w:ascii="Arial" w:cs="Arial" w:eastAsia="Arial" w:hAnsi="Arial"/>
          <w:color w:val="1A1A2E"/>
          <w:sz w:val="22"/>
          <w:szCs w:val="22"/>
        </w:rPr>
        <w:t xml:space="preserve">Activate the institutional product suite. NexSys Grid, NexSys Assure, and NexSys Care are all different query patterns on the same event log, delivered through the same Data Sovereignty API, governed by the same consent framework. Each product creates a new revenue stream while simultaneously creating new data fusion opportunities.</w:t>
      </w:r>
    </w:p>
    <w:p>
      <w:pPr>
        <w:spacing w:after="180" w:before="0" w:line="276"/>
        <w:jc w:val="both"/>
      </w:pPr>
      <w:r>
        <w:rPr>
          <w:rFonts w:ascii="Arial" w:cs="Arial" w:eastAsia="Arial" w:hAnsi="Arial"/>
          <w:color w:val="1A1A2E"/>
          <w:sz w:val="22"/>
          <w:szCs w:val="22"/>
        </w:rPr>
        <w:t xml:space="preserve">This phase is where the data value pyramid compounds. NexSys Grid requires energy telemetry, battery state, EV status, and household comfort preferences — all already being collected and optimized in Phase 2. NexSys Assure requires device operational status, event history summaries, and cryptographic attestation — all derivable from the standard event log plus the tamper-evident integrity chain already designed in the architecture invariants. NexSys Care requires motion sensor patterns, appliance usage patterns, and environmental readings — all standard device events that have been accumulating since Phase 1.</w:t>
      </w:r>
    </w:p>
    <w:p>
      <w:pPr>
        <w:spacing w:after="180" w:before="0" w:line="276"/>
        <w:jc w:val="both"/>
      </w:pPr>
      <w:r>
        <w:rPr>
          <w:rFonts w:ascii="Arial" w:cs="Arial" w:eastAsia="Arial" w:hAnsi="Arial"/>
          <w:color w:val="1A1A2E"/>
          <w:sz w:val="22"/>
          <w:szCs w:val="22"/>
        </w:rPr>
        <w:t xml:space="preserve">The institutional API layer speaks each domain’s native language: OpenADR 3.x for utilities, cryptographic attestation protocols for insurers, FHIR/HL7 for healthcare providers. But underneath, each interface is a different projection of the same event log — filtered by consent scope, aggregated to the appropriate granularity, and formatted for the domain’s consumption. This is the architectural leverage that makes the institutional product suite buildable by a small team: there is one data source, one consent framework, and one transformation pipeline with multiple output adapters.</w:t>
      </w:r>
    </w:p>
    <w:p>
      <w:pPr>
        <w:spacing w:after="180" w:before="0" w:line="276"/>
        <w:jc w:val="both"/>
      </w:pPr>
      <w:r>
        <w:rPr>
          <w:rFonts w:ascii="Arial" w:cs="Arial" w:eastAsia="Arial" w:hAnsi="Arial"/>
          <w:b/>
          <w:bCs/>
          <w:color w:val="1A1A2E"/>
          <w:sz w:val="22"/>
          <w:szCs w:val="22"/>
        </w:rPr>
        <w:t xml:space="preserve">Critical data fusion unlocked in Phase 3:</w:t>
      </w:r>
    </w:p>
    <w:p>
      <w:pPr>
        <w:spacing w:after="180" w:before="0" w:line="276"/>
        <w:jc w:val="both"/>
      </w:pPr>
      <w:r>
        <w:rPr>
          <w:rFonts w:ascii="Arial" w:cs="Arial" w:eastAsia="Arial" w:hAnsi="Arial"/>
          <w:color w:val="1A1A2E"/>
          <w:sz w:val="22"/>
          <w:szCs w:val="22"/>
        </w:rPr>
        <w:t xml:space="preserve">The insurance attestation product creates a feedback loop that improves the energy optimization product. A home that is monitored for insurance purposes has all water sensors, smoke detectors, and security sensors confirmed operational daily. This device health data feeds back into the energy optimization model (a home with confirmed-operational HVAC sensors produces better temperature predictions). Similarly, the VPP enrollment data improves the insurance risk model (a home participating in demand response has demonstrated a functioning, responsive energy management system, which is a positive risk signal). And the aging-in-place monitoring generates occupancy and behavioral data that improves energy prediction (the Care system knows when a sole occupant is typically home, which is better occupancy data than probabilistic presence detection alone).</w:t>
      </w:r>
    </w:p>
    <w:p>
      <w:pPr>
        <w:spacing w:after="180" w:before="0" w:line="276"/>
        <w:jc w:val="both"/>
      </w:pPr>
      <w:r>
        <w:rPr>
          <w:rFonts w:ascii="Arial" w:cs="Arial" w:eastAsia="Arial" w:hAnsi="Arial"/>
          <w:color w:val="1A1A2E"/>
          <w:sz w:val="22"/>
          <w:szCs w:val="22"/>
        </w:rPr>
        <w:t xml:space="preserve">Each institutional product, once live, generates domain-specific data that enriches the other products. This cross-domain data fusion is the mechanism that creates superadditive value — and it is structurally impossible for any competitor to replicate, because no competitor operates across all three institutional domains simultaneously on a unified data model.</w:t>
      </w:r>
    </w:p>
    <w:p>
      <w:pPr>
        <w:pStyle w:val="Heading2"/>
      </w:pPr>
      <w:r>
        <w:t xml:space="preserve">Phase 4 and Beyond: Platform Economics (Years 5+) — Data Sovereignty at Scale</w:t>
      </w:r>
    </w:p>
    <w:p>
      <w:pPr>
        <w:spacing w:after="180" w:before="0" w:line="276"/>
        <w:jc w:val="both"/>
      </w:pPr>
      <w:r>
        <w:rPr>
          <w:rFonts w:ascii="Arial" w:cs="Arial" w:eastAsia="Arial" w:hAnsi="Arial"/>
          <w:b/>
          <w:bCs/>
          <w:i/>
          <w:iCs/>
          <w:color w:val="1A1A2E"/>
          <w:sz w:val="22"/>
          <w:szCs w:val="22"/>
        </w:rPr>
        <w:t xml:space="preserve">Strategic posture: </w:t>
      </w:r>
      <w:r>
        <w:rPr>
          <w:rFonts w:ascii="Arial" w:cs="Arial" w:eastAsia="Arial" w:hAnsi="Arial"/>
          <w:color w:val="1A1A2E"/>
          <w:sz w:val="22"/>
          <w:szCs w:val="22"/>
        </w:rPr>
        <w:t xml:space="preserve">The Data Sovereignty API becomes a general-purpose consent-mediated data platform. Third-party developers build applications that consume scoped home data. Population-level intelligence products activate. The home becomes a recognized data asset in financial markets.</w:t>
      </w:r>
    </w:p>
    <w:p>
      <w:pPr>
        <w:spacing w:after="180" w:before="0" w:line="276"/>
        <w:jc w:val="both"/>
      </w:pPr>
      <w:r>
        <w:rPr>
          <w:rFonts w:ascii="Arial" w:cs="Arial" w:eastAsia="Arial" w:hAnsi="Arial"/>
          <w:color w:val="1A1A2E"/>
          <w:sz w:val="22"/>
          <w:szCs w:val="22"/>
        </w:rPr>
        <w:t xml:space="preserve">At 200K+ installations, the Data Sovereignty API supports a marketplace of data consumers — all mediated by homeowner consent, all scoped to specific event categories, all time-limited and revocable. A home warranty company might request device-health data to offer predictive maintenance plans. A real estate platform might request the home health score and energy efficiency rating for property listings. A municipality might request aggregated energy data from buildings in a specific district for climate action planning. An appliance manufacturer might request anonymized usage patterns for their devices to improve product design.</w:t>
      </w:r>
    </w:p>
    <w:p>
      <w:pPr>
        <w:spacing w:after="180" w:before="0" w:line="276"/>
        <w:jc w:val="both"/>
      </w:pPr>
      <w:r>
        <w:rPr>
          <w:rFonts w:ascii="Arial" w:cs="Arial" w:eastAsia="Arial" w:hAnsi="Arial"/>
          <w:color w:val="1A1A2E"/>
          <w:sz w:val="22"/>
          <w:szCs w:val="22"/>
        </w:rPr>
        <w:t xml:space="preserve">None of these consumers access raw event streams. Each receives a structured output defined by a consent scope template. The homeowner reviews and approves each access grant in the HomeSynapse UI, sees exactly what data is being shared, and can revoke access at any time. This is the inversion of the current data model: instead of companies collecting data from passive consumers, the homeowner is an active participant who controls access to a valuable asset and captures a share of the value it creates.</w:t>
      </w:r>
    </w:p>
    <w:p>
      <w:pPr>
        <w:spacing w:after="180" w:before="0" w:line="276"/>
        <w:jc w:val="both"/>
      </w:pPr>
      <w:r>
        <w:rPr>
          <w:rFonts w:ascii="Arial" w:cs="Arial" w:eastAsia="Arial" w:hAnsi="Arial"/>
          <w:color w:val="1A1A2E"/>
          <w:sz w:val="22"/>
          <w:szCs w:val="22"/>
        </w:rPr>
        <w:t xml:space="preserve">The unified home model described in the Phase 5 roadmap is the culmination: a comprehensive digital representation of the home — physical layout, device inventory, energy model, behavioral baseline, maintenance history, compliance state — that becomes a transferable asset in home sales. A buyer receives the complete documented history of the home, proving that it has been well-maintained, energy-efficient, and structurally monitored. This is the “Carfax for homes” that the real estate industry has wanted for decades, and it can only be created by a platform that has been recording structured, trustworthy data from the moment of installation.</w:t>
      </w:r>
    </w:p>
    <w:p>
      <w:pPr>
        <w:pBdr>
          <w:bottom w:val="single" w:color="3FA6C9" w:sz="4" w:space="8"/>
        </w:pBdr>
        <w:spacing w:after="300" w:before="300"/>
      </w:pPr>
    </w:p>
    <w:p>
      <w:pPr>
        <w:pStyle w:val="Heading1"/>
      </w:pPr>
      <w:r>
        <w:t xml:space="preserve">Part Four: Data Stream Inventory and Value Trajectories</w:t>
      </w:r>
    </w:p>
    <w:p>
      <w:pPr>
        <w:spacing w:after="180" w:before="0" w:line="276"/>
        <w:jc w:val="both"/>
      </w:pPr>
      <w:r>
        <w:rPr>
          <w:rFonts w:ascii="Arial" w:cs="Arial" w:eastAsia="Arial" w:hAnsi="Arial"/>
          <w:color w:val="1A1A2E"/>
          <w:sz w:val="22"/>
          <w:szCs w:val="22"/>
        </w:rPr>
        <w:t xml:space="preserve">The following table maps every significant data stream that HomeSynapse generates or can generate, its activation phase, its primary consumers, and its estimated annual value per household at maturity. Values are conservative and based on comparable market pricing from the data brokerage research.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3060"/>
        <w:gridCol w:w="1700"/>
      </w:tblGrid>
      <w:tr>
        <w:tc>
          <w:tcPr>
            <w:tcW w:type="dxa" w:w="2500"/>
            <w:tcBorders>
              <w:top w:val="single" w:color="CCCCCC" w:sz="1"/>
              <w:left w:val="single" w:color="CCCCCC" w:sz="1"/>
              <w:bottom w:val="single" w:color="CCCCCC" w:sz="1"/>
              <w:right w:val="single" w:color="CCCCCC" w:sz="1"/>
            </w:tcBorders>
            <w:shd w:fill="2F6FA3"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Stream</w:t>
            </w:r>
          </w:p>
        </w:tc>
        <w:tc>
          <w:tcPr>
            <w:tcW w:type="dxa" w:w="1100"/>
            <w:tcBorders>
              <w:top w:val="single" w:color="CCCCCC" w:sz="1"/>
              <w:left w:val="single" w:color="CCCCCC" w:sz="1"/>
              <w:bottom w:val="single" w:color="CCCCCC" w:sz="1"/>
              <w:right w:val="single" w:color="CCCCCC" w:sz="1"/>
            </w:tcBorders>
            <w:shd w:fill="2F6FA3"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060"/>
            <w:tcBorders>
              <w:top w:val="single" w:color="CCCCCC" w:sz="1"/>
              <w:left w:val="single" w:color="CCCCCC" w:sz="1"/>
              <w:bottom w:val="single" w:color="CCCCCC" w:sz="1"/>
              <w:right w:val="single" w:color="CCCCCC" w:sz="1"/>
            </w:tcBorders>
            <w:shd w:fill="2F6FA3"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Consumers</w:t>
            </w:r>
          </w:p>
        </w:tc>
        <w:tc>
          <w:tcPr>
            <w:tcW w:type="dxa" w:w="1700"/>
            <w:tcBorders>
              <w:top w:val="single" w:color="CCCCCC" w:sz="1"/>
              <w:left w:val="single" w:color="CCCCCC" w:sz="1"/>
              <w:bottom w:val="single" w:color="CCCCCC" w:sz="1"/>
              <w:right w:val="single" w:color="CCCCCC" w:sz="1"/>
            </w:tcBorders>
            <w:shd w:fill="2F6FA3"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Value/Home</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Energy consumption (per-circuit)</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1</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utilities, grid operators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$40–80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Solar production telemetry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2</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utilities, energy traders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$20–40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Battery/EV state-of-charge</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2</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VPP aggregators, grid operators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$30–60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Device state history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1</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device manufacturers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$5–15</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Device reliability metrics</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1</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Manufacturers, warranty providers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$10–25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Occupancy patterns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2</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insurers, utilities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$15–35</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Environmental readings (temp/humidity/AQ)</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1</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HVAC providers, insurers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$10–20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Automation execution data</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1</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Homeowner (optimization)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$5–10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Water sensor / leak detection</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2</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Insurers (claims reduction)</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$25–50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Home health attestation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3</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Insurers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$24–60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VPP dispatch optimization</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3</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Utilities, grid operators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$45–100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Wellness behavioral baseline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3</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Healthcare providers, caregivers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$200–590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Composite home health score</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3</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Insurers, real estate, appraisers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$30–75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Property digital twin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5</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Real estate, buyers, municipalities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$50–150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Population energy patterns</w:t>
            </w:r>
          </w:p>
        </w:tc>
        <w:tc>
          <w:tcPr>
            <w:tcW w:type="dxa" w:w="11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4</w:t>
            </w:r>
          </w:p>
        </w:tc>
        <w:tc>
          <w:tcPr>
            <w:tcW w:type="dxa" w:w="3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Grid planners, regulators, researchers</w:t>
            </w:r>
          </w:p>
        </w:tc>
        <w:tc>
          <w:tcPr>
            <w:tcW w:type="dxa" w:w="1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20"/>
                <w:szCs w:val="20"/>
                <w:shd w:val="clear" w:fill="auto"/>
              </w:rPr>
              <w:t xml:space="preserve">$2–5 (per home share)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Device reliability corpus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Phase 4</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Manufacturers, retailers, standards bodies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shd w:val="clear" w:fill="auto"/>
              </w:rPr>
              <w:t xml:space="preserve">$1–3 (per home share)</w:t>
            </w:r>
          </w:p>
        </w:tc>
      </w:tr>
    </w:tbl>
    <w:p>
      <w:pPr>
        <w:spacing w:after="180"/>
      </w:pPr>
    </w:p>
    <w:p>
      <w:pPr>
        <w:spacing w:after="180" w:before="0" w:line="276"/>
        <w:jc w:val="both"/>
      </w:pPr>
      <w:r>
        <w:rPr>
          <w:rFonts w:ascii="Arial" w:cs="Arial" w:eastAsia="Arial" w:hAnsi="Arial"/>
          <w:b/>
          <w:bCs/>
          <w:color w:val="1A1A2E"/>
          <w:sz w:val="22"/>
          <w:szCs w:val="22"/>
        </w:rPr>
        <w:t xml:space="preserve">Composite value at maturity: </w:t>
      </w:r>
      <w:r>
        <w:rPr>
          <w:rFonts w:ascii="Arial" w:cs="Arial" w:eastAsia="Arial" w:hAnsi="Arial"/>
          <w:color w:val="1A1A2E"/>
          <w:sz w:val="22"/>
          <w:szCs w:val="22"/>
        </w:rPr>
        <w:t xml:space="preserve">A fully instrumented HomeSynapse installation participating in energy, insurance, and care programs generates an estimated $500–$1,200 in annual data-derived value per household. Crucially, the homeowner captures the majority of this value directly (through VPP payments, insurance discounts, and care services), while NexSys captures platform fees and subscription revenue. The ratio is approximately 60–70% to the homeowner, 30–40% to NexSys.</w:t>
      </w:r>
    </w:p>
    <w:p>
      <w:pPr>
        <w:pBdr>
          <w:bottom w:val="single" w:color="3FA6C9" w:sz="4" w:space="8"/>
        </w:pBdr>
        <w:spacing w:after="300" w:before="300"/>
      </w:pPr>
    </w:p>
    <w:p>
      <w:pPr>
        <w:pStyle w:val="Heading1"/>
      </w:pPr>
      <w:r>
        <w:t xml:space="preserve">Part Five: The Consent Architecture — How to Stay User-Friendly</w:t>
      </w:r>
    </w:p>
    <w:p>
      <w:pPr>
        <w:spacing w:after="180" w:before="0" w:line="276"/>
        <w:jc w:val="both"/>
      </w:pPr>
      <w:r>
        <w:rPr>
          <w:rFonts w:ascii="Arial" w:cs="Arial" w:eastAsia="Arial" w:hAnsi="Arial"/>
          <w:color w:val="1A1A2E"/>
          <w:sz w:val="22"/>
          <w:szCs w:val="22"/>
        </w:rPr>
        <w:t xml:space="preserve">The entire data value strategy collapses if the homeowner feels surveilled, manipulated, or confused. The consent architecture is therefore as important as the technical architecture. It must be simple enough for a non-technical homeowner to understand, granular enough to satisfy privacy-conscious users, and verifiable enough to satisfy institutional partners.</w:t>
      </w:r>
    </w:p>
    <w:p>
      <w:pPr>
        <w:pStyle w:val="Heading2"/>
      </w:pPr>
      <w:r>
        <w:t xml:space="preserve">Design Principles for the Consent Framework</w:t>
      </w:r>
    </w:p>
    <w:p>
      <w:pPr>
        <w:spacing w:after="180" w:before="0" w:line="276"/>
        <w:jc w:val="both"/>
      </w:pPr>
      <w:r>
        <w:rPr>
          <w:rFonts w:ascii="Arial" w:cs="Arial" w:eastAsia="Arial" w:hAnsi="Arial"/>
          <w:b/>
          <w:bCs/>
          <w:color w:val="1A1A2E"/>
          <w:sz w:val="22"/>
          <w:szCs w:val="22"/>
        </w:rPr>
        <w:t xml:space="preserve">Principle 1: Off by default, everywhere. </w:t>
      </w:r>
      <w:r>
        <w:rPr>
          <w:rFonts w:ascii="Arial" w:cs="Arial" w:eastAsia="Arial" w:hAnsi="Arial"/>
          <w:color w:val="1A1A2E"/>
          <w:sz w:val="22"/>
          <w:szCs w:val="22"/>
        </w:rPr>
        <w:t xml:space="preserve">No data sharing is enabled upon installation. The system does not ask for consent during setup. The homeowner uses HomeSynapse for days or weeks before any data-sharing opportunity is presented. This establishes the baseline expectation: HomeSynapse works perfectly without sharing anything.</w:t>
      </w:r>
    </w:p>
    <w:p>
      <w:pPr>
        <w:spacing w:after="180" w:before="0" w:line="276"/>
        <w:jc w:val="both"/>
      </w:pPr>
      <w:r>
        <w:rPr>
          <w:rFonts w:ascii="Arial" w:cs="Arial" w:eastAsia="Arial" w:hAnsi="Arial"/>
          <w:b/>
          <w:bCs/>
          <w:color w:val="1A1A2E"/>
          <w:sz w:val="22"/>
          <w:szCs w:val="22"/>
        </w:rPr>
        <w:t xml:space="preserve">Principle 2: Value before consent. </w:t>
      </w:r>
      <w:r>
        <w:rPr>
          <w:rFonts w:ascii="Arial" w:cs="Arial" w:eastAsia="Arial" w:hAnsi="Arial"/>
          <w:color w:val="1A1A2E"/>
          <w:sz w:val="22"/>
          <w:szCs w:val="22"/>
        </w:rPr>
        <w:t xml:space="preserve">The system never asks for data-sharing consent without first demonstrating specific, quantified value. “Your energy data shows you could earn approximately $300/year through VPP participation. Would you like to learn more?” Not: “Share your energy data with our partners.” The user sees the benefit first and makes an informed decision.</w:t>
      </w:r>
    </w:p>
    <w:p>
      <w:pPr>
        <w:spacing w:after="180" w:before="0" w:line="276"/>
        <w:jc w:val="both"/>
      </w:pPr>
      <w:r>
        <w:rPr>
          <w:rFonts w:ascii="Arial" w:cs="Arial" w:eastAsia="Arial" w:hAnsi="Arial"/>
          <w:b/>
          <w:bCs/>
          <w:color w:val="1A1A2E"/>
          <w:sz w:val="22"/>
          <w:szCs w:val="22"/>
        </w:rPr>
        <w:t xml:space="preserve">Principle 3: Consent is scoped, time-limited, and revocable. </w:t>
      </w:r>
      <w:r>
        <w:rPr>
          <w:rFonts w:ascii="Arial" w:cs="Arial" w:eastAsia="Arial" w:hAnsi="Arial"/>
          <w:color w:val="1A1A2E"/>
          <w:sz w:val="22"/>
          <w:szCs w:val="22"/>
        </w:rPr>
        <w:t xml:space="preserve">Every data-sharing authorization specifies exactly which event categories are shared, with which specific institution, for what specific purpose, for how long, and what happens when the authorization expires or is revoked. The user can review all active authorizations in a single dashboard view and revoke any of them with a single action.</w:t>
      </w:r>
    </w:p>
    <w:p>
      <w:pPr>
        <w:spacing w:after="180" w:before="0" w:line="276"/>
        <w:jc w:val="both"/>
      </w:pPr>
      <w:r>
        <w:rPr>
          <w:rFonts w:ascii="Arial" w:cs="Arial" w:eastAsia="Arial" w:hAnsi="Arial"/>
          <w:b/>
          <w:bCs/>
          <w:color w:val="1A1A2E"/>
          <w:sz w:val="22"/>
          <w:szCs w:val="22"/>
        </w:rPr>
        <w:t xml:space="preserve">Principle 4: The user sees what the institution sees. </w:t>
      </w:r>
      <w:r>
        <w:rPr>
          <w:rFonts w:ascii="Arial" w:cs="Arial" w:eastAsia="Arial" w:hAnsi="Arial"/>
          <w:color w:val="1A1A2E"/>
          <w:sz w:val="22"/>
          <w:szCs w:val="22"/>
        </w:rPr>
        <w:t xml:space="preserve">Before granting any authorization, the user can preview the exact data that will be shared. For an insurance attestation, the user sees the attestation document: “All 6 water sensors operational. No leak events. Shutoff valve test passed.” They can verify that it contains no behavioral data, no occupancy information, no raw sensor readings. For a wellness summary, the caregiver sees the same weekly report the user can review first.</w:t>
      </w:r>
    </w:p>
    <w:p>
      <w:pPr>
        <w:spacing w:after="180" w:before="0" w:line="276"/>
        <w:jc w:val="both"/>
      </w:pPr>
      <w:r>
        <w:rPr>
          <w:rFonts w:ascii="Arial" w:cs="Arial" w:eastAsia="Arial" w:hAnsi="Arial"/>
          <w:b/>
          <w:bCs/>
          <w:color w:val="1A1A2E"/>
          <w:sz w:val="22"/>
          <w:szCs w:val="22"/>
        </w:rPr>
        <w:t xml:space="preserve">Principle 5: Cryptographic verification, not trust. </w:t>
      </w:r>
      <w:r>
        <w:rPr>
          <w:rFonts w:ascii="Arial" w:cs="Arial" w:eastAsia="Arial" w:hAnsi="Arial"/>
          <w:color w:val="1A1A2E"/>
          <w:sz w:val="22"/>
          <w:szCs w:val="22"/>
        </w:rPr>
        <w:t xml:space="preserve">The tamper-evident integrity chain already designed in the architecture invariants extends to data-sharing operations. The user can cryptographically verify that no data was shared beyond the authorized scope. The institution can cryptographically verify that the attestation it received is genuine and unmodified. Neither party needs to trust NexSys — the verification is mathematical.</w:t>
      </w:r>
    </w:p>
    <w:p>
      <w:pPr>
        <w:spacing w:after="180" w:before="0" w:line="276"/>
        <w:jc w:val="both"/>
      </w:pPr>
      <w:r>
        <w:rPr>
          <w:rFonts w:ascii="Arial" w:cs="Arial" w:eastAsia="Arial" w:hAnsi="Arial"/>
          <w:b/>
          <w:bCs/>
          <w:color w:val="1A1A2E"/>
          <w:sz w:val="22"/>
          <w:szCs w:val="22"/>
        </w:rPr>
        <w:t xml:space="preserve">Principle 6: Withdrawal is costless. </w:t>
      </w:r>
      <w:r>
        <w:rPr>
          <w:rFonts w:ascii="Arial" w:cs="Arial" w:eastAsia="Arial" w:hAnsi="Arial"/>
          <w:color w:val="1A1A2E"/>
          <w:sz w:val="22"/>
          <w:szCs w:val="22"/>
        </w:rPr>
        <w:t xml:space="preserve">Revoking a data-sharing authorization never degrades the core HomeSynapse experience. The user’s automations, device control, energy monitoring, and local AI all continue exactly as before. The only consequence of revocation is the loss of the specific benefit that the data sharing enabled (VPP payments stop, insurance discount is removed, care monitoring alerts cease). The user is never punished for protecting their privacy.</w:t>
      </w:r>
    </w:p>
    <w:p>
      <w:pPr>
        <w:pStyle w:val="Heading2"/>
      </w:pPr>
      <w:r>
        <w:t xml:space="preserve">The User Experience of Consent</w:t>
      </w:r>
    </w:p>
    <w:p>
      <w:pPr>
        <w:spacing w:after="180" w:before="0" w:line="276"/>
        <w:jc w:val="both"/>
      </w:pPr>
      <w:r>
        <w:rPr>
          <w:rFonts w:ascii="Arial" w:cs="Arial" w:eastAsia="Arial" w:hAnsi="Arial"/>
          <w:color w:val="1A1A2E"/>
          <w:sz w:val="22"/>
          <w:szCs w:val="22"/>
        </w:rPr>
        <w:t xml:space="preserve">In practice, the consent experience should feel like managing subscriptions on a smartphone, not like reading a GDPR consent form. The Data Sovereignty dashboard shows a clean list of active data-sharing relationships, each with: the institution’s name and verified identity, the purpose of the sharing, the specific data categories included, the start date, the expiration date (or “until revoked”), the value the user receives (monthly VPP payment, insurance discount amount, care monitoring status), and a single toggle to pause or revoke. There is no legal language. There are no multi-page consent forms. There is no dark pattern or nudging. The user is an adult making an informed choice about a valuable asset they own.</w:t>
      </w:r>
    </w:p>
    <w:p>
      <w:pPr>
        <w:pBdr>
          <w:bottom w:val="single" w:color="3FA6C9" w:sz="4" w:space="8"/>
        </w:pBdr>
        <w:spacing w:after="300" w:before="300"/>
      </w:pPr>
    </w:p>
    <w:p>
      <w:pPr>
        <w:pStyle w:val="Heading1"/>
      </w:pPr>
      <w:r>
        <w:t xml:space="preserve">Part Six: Why No Competitor Can Replicate This</w:t>
      </w:r>
    </w:p>
    <w:p>
      <w:pPr>
        <w:pStyle w:val="Heading2"/>
      </w:pPr>
      <w:r>
        <w:t xml:space="preserve">The Structural Barriers</w:t>
      </w:r>
    </w:p>
    <w:p>
      <w:pPr>
        <w:spacing w:after="180" w:before="0" w:line="276"/>
        <w:jc w:val="both"/>
      </w:pPr>
      <w:r>
        <w:rPr>
          <w:rFonts w:ascii="Arial" w:cs="Arial" w:eastAsia="Arial" w:hAnsi="Arial"/>
          <w:color w:val="1A1A2E"/>
          <w:sz w:val="22"/>
          <w:szCs w:val="22"/>
        </w:rPr>
        <w:t xml:space="preserve">Five structural barriers protect the data value strategy from competitive replication:</w:t>
      </w:r>
    </w:p>
    <w:p>
      <w:pPr>
        <w:spacing w:after="180" w:before="0" w:line="276"/>
        <w:jc w:val="both"/>
      </w:pPr>
      <w:r>
        <w:rPr>
          <w:rFonts w:ascii="Arial" w:cs="Arial" w:eastAsia="Arial" w:hAnsi="Arial"/>
          <w:b/>
          <w:bCs/>
          <w:color w:val="1A1A2E"/>
          <w:sz w:val="22"/>
          <w:szCs w:val="22"/>
        </w:rPr>
        <w:t xml:space="preserve">Barrier 1: Unified event model. </w:t>
      </w:r>
      <w:r>
        <w:rPr>
          <w:rFonts w:ascii="Arial" w:cs="Arial" w:eastAsia="Arial" w:hAnsi="Arial"/>
          <w:color w:val="1A1A2E"/>
          <w:sz w:val="22"/>
          <w:szCs w:val="22"/>
        </w:rPr>
        <w:t xml:space="preserve">No other residential platform routes all device state changes, energy telemetry, automation executions, and system events through a single canonical data model with causal chain tracking. Home Assistant has an event bus but no event-sourced system of record. Google, Amazon, and Apple collect device data but siloed by device type and service. The data fusions described in Part Two require a unified model — without it, the composite intelligence layer is impossible.</w:t>
      </w:r>
    </w:p>
    <w:p>
      <w:pPr>
        <w:spacing w:after="180" w:before="0" w:line="276"/>
        <w:jc w:val="both"/>
      </w:pPr>
      <w:r>
        <w:rPr>
          <w:rFonts w:ascii="Arial" w:cs="Arial" w:eastAsia="Arial" w:hAnsi="Arial"/>
          <w:b/>
          <w:bCs/>
          <w:color w:val="1A1A2E"/>
          <w:sz w:val="22"/>
          <w:szCs w:val="22"/>
        </w:rPr>
        <w:t xml:space="preserve">Barrier 2: Local-first processing. </w:t>
      </w:r>
      <w:r>
        <w:rPr>
          <w:rFonts w:ascii="Arial" w:cs="Arial" w:eastAsia="Arial" w:hAnsi="Arial"/>
          <w:color w:val="1A1A2E"/>
          <w:sz w:val="22"/>
          <w:szCs w:val="22"/>
        </w:rPr>
        <w:t xml:space="preserve">Data fusion at the household level requires computation at the data source. Cloud platforms can aggregate data from many homes, but they cannot fuse data streams within a single home with sub-second latency and zero privacy exposure. HomeSynapse’s on-device processing means the composite intelligence is computed locally, and only the structured outputs (not the raw ingredients) are shared through the Data Sovereignty API. This is privacy-preserving by architecture, not by policy.</w:t>
      </w:r>
    </w:p>
    <w:p>
      <w:pPr>
        <w:spacing w:after="180" w:before="0" w:line="276"/>
        <w:jc w:val="both"/>
      </w:pPr>
      <w:r>
        <w:rPr>
          <w:rFonts w:ascii="Arial" w:cs="Arial" w:eastAsia="Arial" w:hAnsi="Arial"/>
          <w:b/>
          <w:bCs/>
          <w:color w:val="1A1A2E"/>
          <w:sz w:val="22"/>
          <w:szCs w:val="22"/>
        </w:rPr>
        <w:t xml:space="preserve">Barrier 3: Protocol agnosticism. </w:t>
      </w:r>
      <w:r>
        <w:rPr>
          <w:rFonts w:ascii="Arial" w:cs="Arial" w:eastAsia="Arial" w:hAnsi="Arial"/>
          <w:color w:val="1A1A2E"/>
          <w:sz w:val="22"/>
          <w:szCs w:val="22"/>
        </w:rPr>
        <w:t xml:space="preserve">HomeSynapse’s protocol-agnostic entity model means it collects data from devices regardless of manufacturer or communication protocol. A Tesla Powerwall, a Nest thermostat, a third-party Zigbee sensor, and a Matter-compatible EV charger all feed the same event log. Single-vendor VPP aggregators (Tesla, Sunrun, Google) are structurally limited to their own device ecosystems. HomeSynapse is the only platform that can orchestrate the complete household.</w:t>
      </w:r>
    </w:p>
    <w:p>
      <w:pPr>
        <w:spacing w:after="180" w:before="0" w:line="276"/>
        <w:jc w:val="both"/>
      </w:pPr>
      <w:r>
        <w:rPr>
          <w:rFonts w:ascii="Arial" w:cs="Arial" w:eastAsia="Arial" w:hAnsi="Arial"/>
          <w:b/>
          <w:bCs/>
          <w:color w:val="1A1A2E"/>
          <w:sz w:val="22"/>
          <w:szCs w:val="22"/>
        </w:rPr>
        <w:t xml:space="preserve">Barrier 4: Trust brand. </w:t>
      </w:r>
      <w:r>
        <w:rPr>
          <w:rFonts w:ascii="Arial" w:cs="Arial" w:eastAsia="Arial" w:hAnsi="Arial"/>
          <w:color w:val="1A1A2E"/>
          <w:sz w:val="22"/>
          <w:szCs w:val="22"/>
        </w:rPr>
        <w:t xml:space="preserve">The no-advertising, no-data-monetization, Apache 2.0 commitment creates a trust position that cloud platforms structurally cannot match. Google’s revenue is 80% advertising. Amazon’s smart home strategy exists to drive commerce. Apple’s privacy positioning is strong but limited to its own ecosystem. NexSys is the only residential platform where the business model and the privacy architecture are structurally aligned. This trust is not a marketing asset — it is the precondition for institutional partnerships. An insurer will not deploy a monitoring system built by a company that has financial incentives to misuse the data it collects.</w:t>
      </w:r>
    </w:p>
    <w:p>
      <w:pPr>
        <w:spacing w:after="180" w:before="0" w:line="276"/>
        <w:jc w:val="both"/>
      </w:pPr>
      <w:r>
        <w:rPr>
          <w:rFonts w:ascii="Arial" w:cs="Arial" w:eastAsia="Arial" w:hAnsi="Arial"/>
          <w:b/>
          <w:bCs/>
          <w:color w:val="1A1A2E"/>
          <w:sz w:val="22"/>
          <w:szCs w:val="22"/>
        </w:rPr>
        <w:t xml:space="preserve">Barrier 5: Time-compounding data. </w:t>
      </w:r>
      <w:r>
        <w:rPr>
          <w:rFonts w:ascii="Arial" w:cs="Arial" w:eastAsia="Arial" w:hAnsi="Arial"/>
          <w:color w:val="1A1A2E"/>
          <w:sz w:val="22"/>
          <w:szCs w:val="22"/>
        </w:rPr>
        <w:t xml:space="preserve">Every month of operation adds to the value of the dataset. Seasonal patterns emerge after 12 months. Device reliability data becomes statistically significant after 24 months. The home health history becomes a transferable asset after 36+ months. A competitor launching today starts with zero data history for every installation. HomeSynapse installations that have been running for years possess data assets that cannot be replicated by any means other than running for years. This is the same compounding effect that makes credit bureau data valuable — Experian’s moat is 50+ years of credit history, not a superior algorithm.</w:t>
      </w:r>
    </w:p>
    <w:p>
      <w:pPr>
        <w:pBdr>
          <w:bottom w:val="single" w:color="3FA6C9" w:sz="4" w:space="8"/>
        </w:pBdr>
        <w:spacing w:after="300" w:before="300"/>
      </w:pPr>
    </w:p>
    <w:p>
      <w:pPr>
        <w:pStyle w:val="Heading1"/>
      </w:pPr>
      <w:r>
        <w:t xml:space="preserve">Part Seven: Implementation Priorities</w:t>
      </w:r>
    </w:p>
    <w:p>
      <w:pPr>
        <w:spacing w:after="180" w:before="0" w:line="276"/>
        <w:jc w:val="both"/>
      </w:pPr>
      <w:r>
        <w:rPr>
          <w:rFonts w:ascii="Arial" w:cs="Arial" w:eastAsia="Arial" w:hAnsi="Arial"/>
          <w:color w:val="1A1A2E"/>
          <w:sz w:val="22"/>
          <w:szCs w:val="22"/>
        </w:rPr>
        <w:t xml:space="preserve">The following are specific technical and organizational actions required to activate the data value strategy, organized by urgency and dependency.</w:t>
      </w:r>
    </w:p>
    <w:p>
      <w:pPr>
        <w:pStyle w:val="Heading2"/>
      </w:pPr>
      <w:r>
        <w:t xml:space="preserve">Immediate (Phase 1 Design)</w:t>
      </w:r>
    </w:p>
    <w:p>
      <w:pPr>
        <w:spacing w:after="180" w:before="0" w:line="276"/>
        <w:jc w:val="both"/>
      </w:pPr>
      <w:r>
        <w:rPr>
          <w:rFonts w:ascii="Arial" w:cs="Arial" w:eastAsia="Arial" w:hAnsi="Arial"/>
          <w:color w:val="1A1A2E"/>
          <w:sz w:val="22"/>
          <w:szCs w:val="22"/>
        </w:rPr>
        <w:t xml:space="preserve">First, embed consent-scope category tags in the event type taxonomy. Every event type should map to one or more consent categories (energy, presence, device_health, automation, environmental, security). This is a schema-level addition with zero runtime cost that prevents an expensive migration later.</w:t>
      </w:r>
    </w:p>
    <w:p>
      <w:pPr>
        <w:spacing w:after="180" w:before="0" w:line="276"/>
        <w:jc w:val="both"/>
      </w:pPr>
      <w:r>
        <w:rPr>
          <w:rFonts w:ascii="Arial" w:cs="Arial" w:eastAsia="Arial" w:hAnsi="Arial"/>
          <w:color w:val="1A1A2E"/>
          <w:sz w:val="22"/>
          <w:szCs w:val="22"/>
        </w:rPr>
        <w:t xml:space="preserve">Second, design the standardized aggregate output formats for energy summaries, device reliability snapshots, and operational health reports. These formats should be defined as schema specifications in Phase 1 and generated by the aggregation engine from Phase 1 onward, even if no external consumer uses them yet.</w:t>
      </w:r>
    </w:p>
    <w:p>
      <w:pPr>
        <w:spacing w:after="180" w:before="0" w:line="276"/>
        <w:jc w:val="both"/>
      </w:pPr>
      <w:r>
        <w:rPr>
          <w:rFonts w:ascii="Arial" w:cs="Arial" w:eastAsia="Arial" w:hAnsi="Arial"/>
          <w:color w:val="1A1A2E"/>
          <w:sz w:val="22"/>
          <w:szCs w:val="22"/>
        </w:rPr>
        <w:t xml:space="preserve">Third, include differential privacy considerations in the telemetry aggregation design. At population scale, aggregated data must not be re-identifiable. The aggregation engine should support configurable noise injection and minimum population thresholds from the start.</w:t>
      </w:r>
    </w:p>
    <w:p>
      <w:pPr>
        <w:pStyle w:val="Heading2"/>
      </w:pPr>
      <w:r>
        <w:t xml:space="preserve">Near-Term (Phase 2 Prototype)</w:t>
      </w:r>
    </w:p>
    <w:p>
      <w:pPr>
        <w:spacing w:after="180" w:before="0" w:line="276"/>
        <w:jc w:val="both"/>
      </w:pPr>
      <w:r>
        <w:rPr>
          <w:rFonts w:ascii="Arial" w:cs="Arial" w:eastAsia="Arial" w:hAnsi="Arial"/>
          <w:color w:val="1A1A2E"/>
          <w:sz w:val="22"/>
          <w:szCs w:val="22"/>
        </w:rPr>
        <w:t xml:space="preserve">First, build the Data Sovereignty API as an internal prototype with three initial consent scopes. The prototype should include the consent UI, the data transformation pipeline, and the audit trail for sharing operations.</w:t>
      </w:r>
    </w:p>
    <w:p>
      <w:pPr>
        <w:spacing w:after="180" w:before="0" w:line="276"/>
        <w:jc w:val="both"/>
      </w:pPr>
      <w:r>
        <w:rPr>
          <w:rFonts w:ascii="Arial" w:cs="Arial" w:eastAsia="Arial" w:hAnsi="Arial"/>
          <w:color w:val="1A1A2E"/>
          <w:sz w:val="22"/>
          <w:szCs w:val="22"/>
        </w:rPr>
        <w:t xml:space="preserve">Second, implement Green Button Connect My Data for utility data ingestion. This simultaneously enriches the energy baseline and establishes utility-compatible data credentials.</w:t>
      </w:r>
    </w:p>
    <w:p>
      <w:pPr>
        <w:spacing w:after="180" w:before="0" w:line="276"/>
        <w:jc w:val="both"/>
      </w:pPr>
      <w:r>
        <w:rPr>
          <w:rFonts w:ascii="Arial" w:cs="Arial" w:eastAsia="Arial" w:hAnsi="Arial"/>
          <w:color w:val="1A1A2E"/>
          <w:sz w:val="22"/>
          <w:szCs w:val="22"/>
        </w:rPr>
        <w:t xml:space="preserve">Third, develop the home health scoring model. Combine device reliability data, sensor operational status, environmental readings, and energy efficiency metrics into a single composite score with transparent component breakdown.</w:t>
      </w:r>
    </w:p>
    <w:p>
      <w:pPr>
        <w:pStyle w:val="Heading2"/>
      </w:pPr>
      <w:r>
        <w:t xml:space="preserve">Medium-Term (Phase 3 Launch)</w:t>
      </w:r>
    </w:p>
    <w:p>
      <w:pPr>
        <w:spacing w:after="180" w:before="0" w:line="276"/>
        <w:jc w:val="both"/>
      </w:pPr>
      <w:r>
        <w:rPr>
          <w:rFonts w:ascii="Arial" w:cs="Arial" w:eastAsia="Arial" w:hAnsi="Arial"/>
          <w:color w:val="1A1A2E"/>
          <w:sz w:val="22"/>
          <w:szCs w:val="22"/>
        </w:rPr>
        <w:t xml:space="preserve">First, build the cryptographic attestation engine for NexSys Assure. The tamper-evident integrity chain already designed in the architecture invariants is the foundation; the addition is a signing mechanism that produces verifiable compliance proofs for external consumption.</w:t>
      </w:r>
    </w:p>
    <w:p>
      <w:pPr>
        <w:spacing w:after="180" w:before="0" w:line="276"/>
        <w:jc w:val="both"/>
      </w:pPr>
      <w:r>
        <w:rPr>
          <w:rFonts w:ascii="Arial" w:cs="Arial" w:eastAsia="Arial" w:hAnsi="Arial"/>
          <w:color w:val="1A1A2E"/>
          <w:sz w:val="22"/>
          <w:szCs w:val="22"/>
        </w:rPr>
        <w:t xml:space="preserve">Second, implement the institutional API layer with domain-specific protocols: OpenADR 3.x for NexSys Grid, the attestation protocol for NexSys Assure, FHIR/HL7 interfaces for NexSys Care.</w:t>
      </w:r>
    </w:p>
    <w:p>
      <w:pPr>
        <w:spacing w:after="180" w:before="0" w:line="276"/>
        <w:jc w:val="both"/>
      </w:pPr>
      <w:r>
        <w:rPr>
          <w:rFonts w:ascii="Arial" w:cs="Arial" w:eastAsia="Arial" w:hAnsi="Arial"/>
          <w:color w:val="1A1A2E"/>
          <w:sz w:val="22"/>
          <w:szCs w:val="22"/>
        </w:rPr>
        <w:t xml:space="preserve">Third, develop the cross-domain data fusion models that combine energy, device health, occupancy, and environmental data into composite intelligence products. These models run locally on the HomeSynapse runtime and feed the institutional API layer.</w:t>
      </w:r>
    </w:p>
    <w:p>
      <w:pPr>
        <w:pBdr>
          <w:bottom w:val="single" w:color="3FA6C9" w:sz="4" w:space="8"/>
        </w:pBdr>
        <w:spacing w:after="300" w:before="300"/>
      </w:pPr>
    </w:p>
    <w:p>
      <w:pPr>
        <w:pStyle w:val="Heading1"/>
      </w:pPr>
      <w:r>
        <w:t xml:space="preserve">Part Eight: Risks and Mitigations</w:t>
      </w:r>
    </w:p>
    <w:p>
      <w:pPr>
        <w:spacing w:after="180" w:before="0" w:line="276"/>
        <w:jc w:val="both"/>
      </w:pPr>
      <w:r>
        <w:rPr>
          <w:rFonts w:ascii="Arial" w:cs="Arial" w:eastAsia="Arial" w:hAnsi="Arial"/>
          <w:b/>
          <w:bCs/>
          <w:color w:val="1A1A2E"/>
          <w:sz w:val="22"/>
          <w:szCs w:val="22"/>
        </w:rPr>
        <w:t xml:space="preserve">Risk: Perception of data exploitation despite structural safeguards. </w:t>
      </w:r>
      <w:r>
        <w:rPr>
          <w:rFonts w:ascii="Arial" w:cs="Arial" w:eastAsia="Arial" w:hAnsi="Arial"/>
          <w:color w:val="1A1A2E"/>
          <w:sz w:val="22"/>
          <w:szCs w:val="22"/>
        </w:rPr>
        <w:t xml:space="preserve">Even with the strongest consent framework, some users will interpret any data-sharing feature as evidence that NexSys is “just like” Google or Amazon. Mitigation: the consent framework must be open-source and independently auditable. The cryptographic verification must be documented in public specifications. Third-party security audits of the Data Sovereignty API should be published. And the system must work perfectly without any data sharing — the free, fully-functional core is the proof that data sharing is optional, not subsidized.</w:t>
      </w:r>
    </w:p>
    <w:p>
      <w:pPr>
        <w:spacing w:after="180" w:before="0" w:line="276"/>
        <w:jc w:val="both"/>
      </w:pPr>
      <w:r>
        <w:rPr>
          <w:rFonts w:ascii="Arial" w:cs="Arial" w:eastAsia="Arial" w:hAnsi="Arial"/>
          <w:b/>
          <w:bCs/>
          <w:color w:val="1A1A2E"/>
          <w:sz w:val="22"/>
          <w:szCs w:val="22"/>
        </w:rPr>
        <w:t xml:space="preserve">Risk: Institutional partner pressure to expand data access. </w:t>
      </w:r>
      <w:r>
        <w:rPr>
          <w:rFonts w:ascii="Arial" w:cs="Arial" w:eastAsia="Arial" w:hAnsi="Arial"/>
          <w:color w:val="1A1A2E"/>
          <w:sz w:val="22"/>
          <w:szCs w:val="22"/>
        </w:rPr>
        <w:t xml:space="preserve">Once utilities, insurers, and healthcare providers see the quality of HomeSynapse data, they will inevitably request broader access than the consent framework allows. Mitigation: the consent scopes are defined by the schema, enforced by the architecture, and governed by the non-negotiable constraints. NexSys walks away from any institutional partnership that requires expanding data access beyond what the homeowner has consented to. This is the trust brand in action. Short-term revenue lost from refusing an exploitative partnership is worth far less than the long-term brand damage from accepting one.</w:t>
      </w:r>
    </w:p>
    <w:p>
      <w:pPr>
        <w:spacing w:after="180" w:before="0" w:line="276"/>
        <w:jc w:val="both"/>
      </w:pPr>
      <w:r>
        <w:rPr>
          <w:rFonts w:ascii="Arial" w:cs="Arial" w:eastAsia="Arial" w:hAnsi="Arial"/>
          <w:b/>
          <w:bCs/>
          <w:color w:val="1A1A2E"/>
          <w:sz w:val="22"/>
          <w:szCs w:val="22"/>
        </w:rPr>
        <w:t xml:space="preserve">Risk: Regulatory changes that restrict consent-based data sharing. </w:t>
      </w:r>
      <w:r>
        <w:rPr>
          <w:rFonts w:ascii="Arial" w:cs="Arial" w:eastAsia="Arial" w:hAnsi="Arial"/>
          <w:color w:val="1A1A2E"/>
          <w:sz w:val="22"/>
          <w:szCs w:val="22"/>
        </w:rPr>
        <w:t xml:space="preserve">Future privacy regulations could impose stricter requirements on data sharing, even with explicit consent. Mitigation: HomeSynapse’s architecture is already more conservative than any proposed regulation. Local processing, minimal data sharing, structured outputs instead of raw data, cryptographic verification, and easy revocation exceed the requirements of GDPR, CCPA, the EU CRA, and all proposed U.S. federal privacy legislation. If anything, stricter regulation benefits NexSys by eliminating competitors who cannot meet the same standard.</w:t>
      </w:r>
    </w:p>
    <w:p>
      <w:pPr>
        <w:spacing w:after="180" w:before="0" w:line="276"/>
        <w:jc w:val="both"/>
      </w:pPr>
      <w:r>
        <w:rPr>
          <w:rFonts w:ascii="Arial" w:cs="Arial" w:eastAsia="Arial" w:hAnsi="Arial"/>
          <w:b/>
          <w:bCs/>
          <w:color w:val="1A1A2E"/>
          <w:sz w:val="22"/>
          <w:szCs w:val="22"/>
        </w:rPr>
        <w:t xml:space="preserve">Risk: Slow institutional adoption. </w:t>
      </w:r>
      <w:r>
        <w:rPr>
          <w:rFonts w:ascii="Arial" w:cs="Arial" w:eastAsia="Arial" w:hAnsi="Arial"/>
          <w:color w:val="1A1A2E"/>
          <w:sz w:val="22"/>
          <w:szCs w:val="22"/>
        </w:rPr>
        <w:t xml:space="preserve">Utilities, insurers, and healthcare providers move slowly. Institutional sales cycles measured in years are common. Mitigation: the data value strategy does not depend on institutional revenue for survival. The consumer cloud subscription and hardware revenue fund operations through Phase 2 and into Phase 3. Institutional products are additive revenue that accelerates growth, not survival revenue that the company depends on. The self-funding growth model provides the patience that institutional sales require.</w:t>
      </w:r>
    </w:p>
    <w:p>
      <w:pPr>
        <w:pBdr>
          <w:bottom w:val="single" w:color="3FA6C9" w:sz="4" w:space="8"/>
        </w:pBdr>
        <w:spacing w:after="300" w:before="300"/>
      </w:pPr>
    </w:p>
    <w:p>
      <w:pPr>
        <w:pStyle w:val="Heading1"/>
      </w:pPr>
      <w:r>
        <w:t xml:space="preserve">Conclusion: The Long Game</w:t>
      </w:r>
    </w:p>
    <w:p>
      <w:pPr>
        <w:spacing w:after="180" w:before="0" w:line="276"/>
        <w:jc w:val="both"/>
      </w:pPr>
      <w:r>
        <w:rPr>
          <w:rFonts w:ascii="Arial" w:cs="Arial" w:eastAsia="Arial" w:hAnsi="Arial"/>
          <w:color w:val="1A1A2E"/>
          <w:sz w:val="22"/>
          <w:szCs w:val="22"/>
        </w:rPr>
        <w:t xml:space="preserve">HomeSynapse is being built as a smart home operating system. The thesis of this report is that it is simultaneously being built as the most valuable residential data infrastructure in existence — not because it collects data for NexSys’s benefit, but because it creates a structured, trustworthy, homeowner-sovereign record of the home that becomes more valuable to the homeowner and to authorized institutions with every month of operation.</w:t>
      </w:r>
    </w:p>
    <w:p>
      <w:pPr>
        <w:spacing w:after="180" w:before="0" w:line="276"/>
        <w:jc w:val="both"/>
      </w:pPr>
      <w:r>
        <w:rPr>
          <w:rFonts w:ascii="Arial" w:cs="Arial" w:eastAsia="Arial" w:hAnsi="Arial"/>
          <w:color w:val="1A1A2E"/>
          <w:sz w:val="22"/>
          <w:szCs w:val="22"/>
        </w:rPr>
        <w:t xml:space="preserve">The data brokerage industry is a $270–325 billion market built on third-party data collection, consent ambiguity, and regulatory arbitrage. That model is dying. Oracle’s advertising data business collapsed 85% in two years. The FTC has issued five landmark enforcement actions against location data brokers since 2022. Twenty states have comprehensive privacy laws. The value of nonconsented third-party data is in structural decline.</w:t>
      </w:r>
    </w:p>
    <w:p>
      <w:pPr>
        <w:spacing w:after="180" w:before="0" w:line="276"/>
        <w:jc w:val="both"/>
      </w:pPr>
      <w:r>
        <w:rPr>
          <w:rFonts w:ascii="Arial" w:cs="Arial" w:eastAsia="Arial" w:hAnsi="Arial"/>
          <w:color w:val="1A1A2E"/>
          <w:sz w:val="22"/>
          <w:szCs w:val="22"/>
        </w:rPr>
        <w:t xml:space="preserve">The value of first-party, consented, structured, real-time data is in structural ascent. First-party data now drives 71% of publisher advertising results, up from 64% a year ago. Data clean rooms have been adopted by 66% of organizations. The alternative data market has grown to $2.5 billion annually, with 95% of hedge funds planning to increase budgets. The premium for compliant, consented, high-fidelity data is increasing every quarter as the supply of nonconsented data shrinks.</w:t>
      </w:r>
    </w:p>
    <w:p>
      <w:pPr>
        <w:spacing w:after="180" w:before="0" w:line="276"/>
        <w:jc w:val="both"/>
      </w:pPr>
      <w:r>
        <w:rPr>
          <w:rFonts w:ascii="Arial" w:cs="Arial" w:eastAsia="Arial" w:hAnsi="Arial"/>
          <w:color w:val="1A1A2E"/>
          <w:sz w:val="22"/>
          <w:szCs w:val="22"/>
        </w:rPr>
        <w:t xml:space="preserve">NexSys is positioned to ride this structural wave, not by becoming a data broker, but by becoming the infrastructure through which homeowners participate in the data economy on their own terms. The homeowner is not the product. The homeowner is the operator of a data-generating asset. NexSys is the platform that makes that asset legible, valuable, and sovereign.</w:t>
      </w:r>
    </w:p>
    <w:p>
      <w:pPr>
        <w:spacing w:after="180" w:before="0" w:line="276"/>
        <w:jc w:val="both"/>
      </w:pPr>
      <w:r>
        <w:rPr>
          <w:rFonts w:ascii="Arial" w:cs="Arial" w:eastAsia="Arial" w:hAnsi="Arial"/>
          <w:color w:val="1A1A2E"/>
          <w:sz w:val="22"/>
          <w:szCs w:val="22"/>
        </w:rPr>
        <w:t xml:space="preserve">The event log is the asset. The Data Sovereignty API is the mechanism. The trust brand is the moat. And time is the compounding function that makes the entire system more valuable with every passing month.</w:t>
      </w:r>
    </w:p>
    <w:p>
      <w:pPr>
        <w:spacing w:after="180" w:before="0" w:line="276"/>
        <w:jc w:val="both"/>
      </w:pPr>
      <w:r>
        <w:rPr>
          <w:rFonts w:ascii="Arial" w:cs="Arial" w:eastAsia="Arial" w:hAnsi="Arial"/>
          <w:color w:val="1A1A2E"/>
          <w:sz w:val="22"/>
          <w:szCs w:val="22"/>
        </w:rPr>
        <w:t xml:space="preserve">This is not a pivot. This is what the architecture was always going to become. The only question was when NexSys would recognize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B7B8D"/>
        <w:sz w:val="16"/>
        <w:szCs w:val="16"/>
      </w:rPr>
      <w:t xml:space="preserve">CONFIDENTIAL — 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A6C9" w:sz="2" w:space="4"/>
      </w:pBdr>
      <w:spacing w:after="0"/>
      <w:jc w:val="right"/>
    </w:pPr>
    <w:r>
      <w:rPr>
        <w:rFonts w:ascii="Arial" w:cs="Arial" w:eastAsia="Arial" w:hAnsi="Arial"/>
        <w:i/>
        <w:iCs/>
        <w:color w:val="6B7B8D"/>
        <w:sz w:val="16"/>
        <w:szCs w:val="16"/>
      </w:rPr>
      <w:t xml:space="preserve">NexSys — From Home OS to Data Value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F6FA3"/>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3FA6C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2026-03-07T20:16:36.194Z</dcterms:created>
  <dcterms:modified xsi:type="dcterms:W3CDTF">2026-03-07T20:16:36.196Z</dcterms:modified>
</cp:coreProperties>
</file>

<file path=docProps/custom.xml><?xml version="1.0" encoding="utf-8"?>
<Properties xmlns="http://schemas.openxmlformats.org/officeDocument/2006/custom-properties" xmlns:vt="http://schemas.openxmlformats.org/officeDocument/2006/docPropsVTypes"/>
</file>