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24" w:space="4"/>
        </w:pBdr>
        <w:shd w:fill="1F3864" w:val="clear"/>
        <w:spacing w:after="0" w:before="0"/>
        <w:jc w:val="center"/>
      </w:pPr>
      <w:r>
        <w:rPr>
          <w:rFonts w:ascii="Arial" w:cs="Arial" w:eastAsia="Arial" w:hAnsi="Arial"/>
          <w:b/>
          <w:bCs/>
          <w:color w:val="FFFFFF"/>
          <w:sz w:val="20"/>
          <w:szCs w:val="20"/>
        </w:rPr>
        <w:t xml:space="preserve">  Université — École Nationale de Commerce et de Gestion  </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60" w:before="600"/>
        <w:jc w:val="center"/>
      </w:pPr>
      <w:r>
        <w:rPr>
          <w:rFonts w:ascii="Arial" w:cs="Arial" w:eastAsia="Arial" w:hAnsi="Arial"/>
          <w:b/>
          <w:bCs/>
          <w:color w:val="1F3864"/>
          <w:sz w:val="52"/>
          <w:szCs w:val="52"/>
        </w:rPr>
        <w:t xml:space="preserve">COMPTE RENDU</w:t>
      </w:r>
    </w:p>
    <w:p>
      <w:pPr>
        <w:pBdr>
          <w:bottom w:val="single" w:color="2E5FA3" w:sz="12" w:space="4"/>
        </w:pBdr>
        <w:spacing w:after="60" w:before="60"/>
        <w:jc w:val="center"/>
      </w:pPr>
      <w:r>
        <w:rPr>
          <w:rFonts w:ascii="Arial" w:cs="Arial" w:eastAsia="Arial" w:hAnsi="Arial"/>
          <w:b w:val="false"/>
          <w:bCs w:val="false"/>
          <w:color w:val="2E5FA3"/>
          <w:sz w:val="32"/>
          <w:szCs w:val="32"/>
        </w:rPr>
        <w:t xml:space="preserve">Analyse et Modélisation ML</w:t>
      </w:r>
    </w:p>
    <w:p>
      <w:pPr>
        <w:spacing w:after="80" w:before="80"/>
      </w:pPr>
      <w:r>
        <w:t xml:space="preserve"/>
      </w:r>
    </w:p>
    <w:p>
      <w:pPr>
        <w:spacing w:after="120" w:before="240"/>
        <w:jc w:val="center"/>
      </w:pPr>
      <w:r>
        <w:rPr>
          <w:rFonts w:ascii="Arial" w:cs="Arial" w:eastAsia="Arial" w:hAnsi="Arial"/>
          <w:b/>
          <w:bCs/>
          <w:color w:val="1F3864"/>
          <w:sz w:val="30"/>
          <w:szCs w:val="30"/>
        </w:rPr>
        <w:t xml:space="preserve">Prédiction du Prix d'Achat Optimal</w:t>
      </w:r>
    </w:p>
    <w:p>
      <w:pPr>
        <w:spacing w:after="400" w:before="80"/>
        <w:jc w:val="center"/>
      </w:pPr>
      <w:r>
        <w:rPr>
          <w:rFonts w:ascii="Arial" w:cs="Arial" w:eastAsia="Arial" w:hAnsi="Arial"/>
          <w:color w:val="555555"/>
          <w:sz w:val="26"/>
          <w:szCs w:val="26"/>
        </w:rPr>
        <w:t xml:space="preserve">des Matières Premières Industrielles (MAD/tonne)</w:t>
      </w:r>
    </w:p>
    <w:p>
      <w:pPr>
        <w:spacing w:after="80" w:before="80"/>
      </w:pPr>
      <w:r>
        <w:t xml:space="preserve"/>
      </w:r>
    </w:p>
    <w:p>
      <w:pPr>
        <w:spacing w:after="8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7200"/>
            <w:gridSpan w:val="2"/>
            <w:tcBorders>
              <w:top w:val="none" w:color="FFFFFF" w:sz="0"/>
              <w:left w:val="none" w:color="FFFFFF" w:sz="0"/>
              <w:bottom w:val="none" w:color="FFFFFF" w:sz="0"/>
              <w:right w:val="none" w:color="FFFFFF" w:sz="0"/>
            </w:tcBorders>
            <w:shd w:fill="1F3864" w:val="clear"/>
            <w:tcMar>
              <w:top w:type="dxa" w:w="120"/>
              <w:left w:type="dxa" w:w="200"/>
              <w:bottom w:type="dxa" w:w="60"/>
              <w:right w:type="dxa" w:w="200"/>
            </w:tcMar>
          </w:tcPr>
          <w:p>
            <w:pPr>
              <w:jc w:val="center"/>
            </w:pPr>
            <w:r>
              <w:rPr>
                <w:rFonts w:ascii="Arial" w:cs="Arial" w:eastAsia="Arial" w:hAnsi="Arial"/>
                <w:b/>
                <w:bCs/>
                <w:color w:val="FFFFFF"/>
                <w:sz w:val="22"/>
                <w:szCs w:val="22"/>
              </w:rPr>
              <w:t xml:space="preserve">Réalisé par</w:t>
            </w:r>
          </w:p>
        </w:tc>
      </w:tr>
      <w:tr>
        <w:tc>
          <w:tcPr>
            <w:tcW w:type="dxa" w:w="3600"/>
            <w:tcBorders>
              <w:top w:val="single" w:color="BBCDE0" w:sz="1"/>
              <w:left w:val="single" w:color="BBCDE0" w:sz="1"/>
              <w:bottom w:val="single" w:color="BBCDE0" w:sz="1"/>
              <w:right w:val="single" w:color="BBCDE0" w:sz="1"/>
            </w:tcBorders>
            <w:shd w:fill="F2F4F8" w:val="clear"/>
            <w:tcMar>
              <w:top w:type="dxa" w:w="120"/>
              <w:left w:type="dxa" w:w="200"/>
              <w:bottom w:type="dxa" w:w="80"/>
              <w:right w:type="dxa" w:w="200"/>
            </w:tcMar>
          </w:tcPr>
          <w:p>
            <w:pPr>
              <w:jc w:val="center"/>
            </w:pPr>
            <w:r>
              <w:rPr>
                <w:rFonts w:ascii="Arial" w:cs="Arial" w:eastAsia="Arial" w:hAnsi="Arial"/>
                <w:b/>
                <w:bCs/>
                <w:color w:val="1F3864"/>
                <w:sz w:val="22"/>
                <w:szCs w:val="22"/>
              </w:rPr>
              <w:t xml:space="preserve">Labnihi Younes</w:t>
            </w:r>
          </w:p>
          <w:p>
            <w:pPr>
              <w:jc w:val="center"/>
            </w:pPr>
            <w:r>
              <w:rPr>
                <w:rFonts w:ascii="Arial" w:cs="Arial" w:eastAsia="Arial" w:hAnsi="Arial"/>
                <w:color w:val="555555"/>
                <w:sz w:val="20"/>
                <w:szCs w:val="20"/>
              </w:rPr>
              <w:t xml:space="preserve">Code Apogée : 25007759</w:t>
            </w:r>
          </w:p>
        </w:tc>
        <w:tc>
          <w:tcPr>
            <w:tcW w:type="dxa" w:w="3600"/>
            <w:tcBorders>
              <w:top w:val="single" w:color="BBCDE0" w:sz="1"/>
              <w:left w:val="single" w:color="BBCDE0" w:sz="1"/>
              <w:bottom w:val="single" w:color="BBCDE0" w:sz="1"/>
              <w:right w:val="single" w:color="BBCDE0" w:sz="1"/>
            </w:tcBorders>
            <w:shd w:fill="F2F4F8" w:val="clear"/>
            <w:tcMar>
              <w:top w:type="dxa" w:w="120"/>
              <w:left w:type="dxa" w:w="200"/>
              <w:bottom w:type="dxa" w:w="80"/>
              <w:right w:type="dxa" w:w="200"/>
            </w:tcMar>
          </w:tcPr>
          <w:p>
            <w:pPr>
              <w:jc w:val="center"/>
            </w:pPr>
            <w:r>
              <w:rPr>
                <w:rFonts w:ascii="Arial" w:cs="Arial" w:eastAsia="Arial" w:hAnsi="Arial"/>
                <w:b/>
                <w:bCs/>
                <w:color w:val="1F3864"/>
                <w:sz w:val="22"/>
                <w:szCs w:val="22"/>
              </w:rPr>
              <w:t xml:space="preserve">Nassif Asmae</w:t>
            </w:r>
          </w:p>
          <w:p>
            <w:pPr>
              <w:jc w:val="center"/>
            </w:pPr>
            <w:r>
              <w:rPr>
                <w:rFonts w:ascii="Arial" w:cs="Arial" w:eastAsia="Arial" w:hAnsi="Arial"/>
                <w:color w:val="555555"/>
                <w:sz w:val="20"/>
                <w:szCs w:val="20"/>
              </w:rPr>
              <w:t xml:space="preserve">Code Apogée : 21009081</w:t>
            </w:r>
          </w:p>
        </w:tc>
      </w:tr>
      <w:tr>
        <w:tc>
          <w:tcPr>
            <w:tcW w:type="dxa" w:w="7200"/>
            <w:gridSpan w:val="2"/>
            <w:tcBorders>
              <w:top w:val="single" w:color="BBCDE0" w:sz="1"/>
              <w:left w:val="single" w:color="BBCDE0" w:sz="1"/>
              <w:bottom w:val="single" w:color="BBCDE0" w:sz="1"/>
              <w:right w:val="single" w:color="BBCDE0" w:sz="1"/>
            </w:tcBorders>
            <w:shd w:fill="F2F4F8" w:val="clear"/>
            <w:tcMar>
              <w:top w:type="dxa" w:w="120"/>
              <w:left w:type="dxa" w:w="200"/>
              <w:bottom w:type="dxa" w:w="80"/>
              <w:right w:type="dxa" w:w="200"/>
            </w:tcMar>
          </w:tcPr>
          <w:p>
            <w:pPr>
              <w:jc w:val="center"/>
            </w:pPr>
            <w:r>
              <w:rPr>
                <w:rFonts w:ascii="Arial" w:cs="Arial" w:eastAsia="Arial" w:hAnsi="Arial"/>
                <w:b/>
                <w:bCs/>
                <w:color w:val="1F3864"/>
                <w:sz w:val="22"/>
                <w:szCs w:val="22"/>
              </w:rPr>
              <w:t xml:space="preserve">Lahyani Khalid</w:t>
            </w:r>
          </w:p>
          <w:p>
            <w:pPr>
              <w:jc w:val="center"/>
            </w:pPr>
            <w:r>
              <w:rPr>
                <w:rFonts w:ascii="Arial" w:cs="Arial" w:eastAsia="Arial" w:hAnsi="Arial"/>
                <w:color w:val="555555"/>
                <w:sz w:val="20"/>
                <w:szCs w:val="20"/>
              </w:rPr>
              <w:t xml:space="preserve">Code Apogée : 20006912</w:t>
            </w:r>
          </w:p>
        </w:tc>
      </w:tr>
    </w:tbl>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0" w:before="400"/>
        <w:jc w:val="center"/>
      </w:pPr>
      <w:r>
        <w:rPr>
          <w:rFonts w:ascii="Arial" w:cs="Arial" w:eastAsia="Arial" w:hAnsi="Arial"/>
          <w:i/>
          <w:iCs/>
          <w:color w:val="777777"/>
          <w:sz w:val="22"/>
          <w:szCs w:val="22"/>
        </w:rPr>
        <w:t xml:space="preserve">Avril 2026</w:t>
      </w:r>
    </w:p>
    <w:p>
      <w:pPr>
        <w:shd w:fill="1F3864" w:val="clear"/>
        <w:spacing w:after="0" w:before="560"/>
        <w:jc w:val="center"/>
      </w:pPr>
      <w:r>
        <w:rPr>
          <w:rFonts w:ascii="Arial" w:cs="Arial" w:eastAsia="Arial" w:hAnsi="Arial"/>
          <w:b/>
          <w:bCs/>
          <w:color w:val="FFFFFF"/>
          <w:sz w:val="20"/>
          <w:szCs w:val="20"/>
        </w:rPr>
        <w:t xml:space="preserve">  Dataset : 600 transactions | Maroc 2020–2024 | 36 variables  </w:t>
      </w:r>
    </w:p>
    <w:p>
      <w:pPr>
        <w:sectPr>
          <w:pgSz w:w="11906" w:h="16838" w:orient="portrait"/>
          <w:pgMar w:top="720" w:right="1440" w:bottom="720" w:left="1440" w:header="708" w:footer="708" w:gutter="0"/>
          <w:pgNumType/>
          <w:docGrid w:linePitch="360"/>
        </w:sectPr>
      </w:pPr>
    </w:p>
    <w:p>
      <w:pPr>
        <w:pStyle w:val="Heading1"/>
        <w:spacing w:after="160" w:before="320"/>
      </w:pPr>
      <w:r>
        <w:rPr>
          <w:rFonts w:ascii="Arial" w:cs="Arial" w:eastAsia="Arial" w:hAnsi="Arial"/>
          <w:b/>
          <w:bCs/>
          <w:color w:val="1F3864"/>
          <w:sz w:val="28"/>
          <w:szCs w:val="28"/>
        </w:rPr>
        <w:t xml:space="preserve">Sommaire</w:t>
      </w:r>
    </w:p>
    <w:sdt>
      <w:sdtPr>
        <w:alias w:val="Table des matières"/>
      </w:sdtPr>
      <w:sdtContent>
        <w:p>
          <w:r>
            <w:fldChar w:fldCharType="begin" w:dirty="true"/>
            <w:instrText xml:space="preserve">TOC \h \o "1-2" \t "Heading 1,1,Heading 2,2"</w:instrText>
            <w:fldChar w:fldCharType="separate"/>
          </w:r>
        </w:p>
        <w:p>
          <w:r>
            <w:fldChar w:fldCharType="end"/>
          </w:r>
        </w:p>
      </w:sdtContent>
    </w:sdt>
    <w:p>
      <w:r>
        <w:br w:type="page"/>
      </w:r>
    </w:p>
    <w:p>
      <w:pPr>
        <w:pStyle w:val="Heading1"/>
        <w:spacing w:after="160" w:before="320"/>
      </w:pPr>
      <w:r>
        <w:rPr>
          <w:rFonts w:ascii="Arial" w:cs="Arial" w:eastAsia="Arial" w:hAnsi="Arial"/>
          <w:b/>
          <w:bCs/>
          <w:color w:val="1F3864"/>
          <w:sz w:val="28"/>
          <w:szCs w:val="28"/>
        </w:rPr>
        <w:t xml:space="preserve">1. Introduction et Contexte</w:t>
      </w:r>
    </w:p>
    <w:p>
      <w:pPr>
        <w:spacing w:after="80" w:before="80"/>
        <w:jc w:val="both"/>
      </w:pPr>
      <w:r>
        <w:rPr>
          <w:rFonts w:ascii="Arial" w:cs="Arial" w:eastAsia="Arial" w:hAnsi="Arial"/>
          <w:color w:val="2C2C2C"/>
          <w:sz w:val="22"/>
          <w:szCs w:val="22"/>
        </w:rPr>
        <w:t xml:space="preserve">Ce compte rendu présente les principaux résultats obtenus dans le cadre d'un projet d'analyse de données et de modélisation par apprentissage automatique, portant sur la prédiction du prix d'achat optimal des matières premières industrielles pour des acheteurs marocains.</w:t>
      </w:r>
    </w:p>
    <w:p>
      <w:pPr>
        <w:spacing w:after="80" w:before="80"/>
      </w:pPr>
      <w:r>
        <w:t xml:space="preserve"/>
      </w:r>
    </w:p>
    <w:p>
      <w:pPr>
        <w:spacing w:after="80" w:before="80"/>
        <w:jc w:val="both"/>
      </w:pPr>
      <w:r>
        <w:rPr>
          <w:rFonts w:ascii="Arial" w:cs="Arial" w:eastAsia="Arial" w:hAnsi="Arial"/>
          <w:color w:val="2C2C2C"/>
          <w:sz w:val="22"/>
          <w:szCs w:val="22"/>
        </w:rPr>
        <w:t xml:space="preserve">Le dataset utilisé regroupe 600 transactions réelles simulées sur la période janvier 2020 – juillet 2024, couvrant 10 matières premières, 8 types de fournisseurs et 8 secteurs industriels. La variable cible est le Prix Achat Optimal (en MAD/tonne), traité comme un problème de régression supervisée.</w:t>
      </w:r>
    </w:p>
    <w:p>
      <w:pPr>
        <w:spacing w:after="80" w:before="80"/>
      </w:pPr>
      <w:r>
        <w:t xml:space="preserve"/>
      </w:r>
    </w:p>
    <w:p>
      <w:pPr>
        <w:pStyle w:val="Heading1"/>
        <w:spacing w:after="160" w:before="320"/>
      </w:pPr>
      <w:r>
        <w:rPr>
          <w:rFonts w:ascii="Arial" w:cs="Arial" w:eastAsia="Arial" w:hAnsi="Arial"/>
          <w:b/>
          <w:bCs/>
          <w:color w:val="1F3864"/>
          <w:sz w:val="28"/>
          <w:szCs w:val="28"/>
        </w:rPr>
        <w:t xml:space="preserve">2. Description du Dataset</w:t>
      </w:r>
    </w:p>
    <w:p>
      <w:pPr>
        <w:pStyle w:val="Heading2"/>
        <w:spacing w:after="120" w:before="240"/>
      </w:pPr>
      <w:r>
        <w:rPr>
          <w:rFonts w:ascii="Arial" w:cs="Arial" w:eastAsia="Arial" w:hAnsi="Arial"/>
          <w:b/>
          <w:bCs/>
          <w:color w:val="2E5FA3"/>
          <w:sz w:val="24"/>
          <w:szCs w:val="24"/>
        </w:rPr>
        <w:t xml:space="preserve">2.1 Informations générales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DE0" w:sz="1"/>
              <w:left w:val="single" w:color="BBCDE0" w:sz="1"/>
              <w:bottom w:val="single" w:color="BBCDE0" w:sz="1"/>
              <w:right w:val="single" w:color="BBCDE0"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Attribut</w:t>
            </w:r>
          </w:p>
        </w:tc>
        <w:tc>
          <w:tcPr>
            <w:tcW w:type="dxa" w:w="6560"/>
            <w:tcBorders>
              <w:top w:val="single" w:color="BBCDE0" w:sz="1"/>
              <w:left w:val="single" w:color="BBCDE0" w:sz="1"/>
              <w:bottom w:val="single" w:color="BBCDE0" w:sz="1"/>
              <w:right w:val="single" w:color="BBCDE0"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Valeur</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Titre</w:t>
            </w:r>
          </w:p>
        </w:tc>
        <w:tc>
          <w:tcPr>
            <w:tcW w:type="dxa" w:w="6560"/>
            <w:tcBorders>
              <w:top w:val="single" w:color="BBCDE0" w:sz="1"/>
              <w:left w:val="single" w:color="BBCDE0" w:sz="1"/>
              <w:bottom w:val="single" w:color="BBCDE0" w:sz="1"/>
              <w:right w:val="single" w:color="BBCDE0"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Prédiction du Prix d'Achat Optimal des MP Industrielles (MAD/t)</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Version</w:t>
            </w:r>
          </w:p>
        </w:tc>
        <w:tc>
          <w:tcPr>
            <w:tcW w:type="dxa" w:w="6560"/>
            <w:tcBorders>
              <w:top w:val="single" w:color="BBCDE0" w:sz="1"/>
              <w:left w:val="single" w:color="BBCDE0" w:sz="1"/>
              <w:bottom w:val="single" w:color="BBCDE0" w:sz="1"/>
              <w:right w:val="single" w:color="BBCDE0" w:sz="1"/>
            </w:tcBorders>
            <w:shd w:fill="F2F4F8"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v2.0 — Avril 2026</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Période couverte</w:t>
            </w:r>
          </w:p>
        </w:tc>
        <w:tc>
          <w:tcPr>
            <w:tcW w:type="dxa" w:w="6560"/>
            <w:tcBorders>
              <w:top w:val="single" w:color="BBCDE0" w:sz="1"/>
              <w:left w:val="single" w:color="BBCDE0" w:sz="1"/>
              <w:bottom w:val="single" w:color="BBCDE0" w:sz="1"/>
              <w:right w:val="single" w:color="BBCDE0"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Janvier 2020 – Juillet 2024 (4,5 ans)</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Nombre de transactions</w:t>
            </w:r>
          </w:p>
        </w:tc>
        <w:tc>
          <w:tcPr>
            <w:tcW w:type="dxa" w:w="6560"/>
            <w:tcBorders>
              <w:top w:val="single" w:color="BBCDE0" w:sz="1"/>
              <w:left w:val="single" w:color="BBCDE0" w:sz="1"/>
              <w:bottom w:val="single" w:color="BBCDE0" w:sz="1"/>
              <w:right w:val="single" w:color="BBCDE0" w:sz="1"/>
            </w:tcBorders>
            <w:shd w:fill="F2F4F8"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600 enregistrements</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Nombre de variables</w:t>
            </w:r>
          </w:p>
        </w:tc>
        <w:tc>
          <w:tcPr>
            <w:tcW w:type="dxa" w:w="6560"/>
            <w:tcBorders>
              <w:top w:val="single" w:color="BBCDE0" w:sz="1"/>
              <w:left w:val="single" w:color="BBCDE0" w:sz="1"/>
              <w:bottom w:val="single" w:color="BBCDE0" w:sz="1"/>
              <w:right w:val="single" w:color="BBCDE0"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36 (35 features + 1 variable cible)</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Type de tâche ML</w:t>
            </w:r>
          </w:p>
        </w:tc>
        <w:tc>
          <w:tcPr>
            <w:tcW w:type="dxa" w:w="6560"/>
            <w:tcBorders>
              <w:top w:val="single" w:color="BBCDE0" w:sz="1"/>
              <w:left w:val="single" w:color="BBCDE0" w:sz="1"/>
              <w:bottom w:val="single" w:color="BBCDE0" w:sz="1"/>
              <w:right w:val="single" w:color="BBCDE0" w:sz="1"/>
            </w:tcBorders>
            <w:shd w:fill="F2F4F8"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Régression supervisée</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Fréquence</w:t>
            </w:r>
          </w:p>
        </w:tc>
        <w:tc>
          <w:tcPr>
            <w:tcW w:type="dxa" w:w="6560"/>
            <w:tcBorders>
              <w:top w:val="single" w:color="BBCDE0" w:sz="1"/>
              <w:left w:val="single" w:color="BBCDE0" w:sz="1"/>
              <w:bottom w:val="single" w:color="BBCDE0" w:sz="1"/>
              <w:right w:val="single" w:color="BBCDE0"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Transactionnel (un enregistrement par ordre d'achat)</w:t>
            </w:r>
          </w:p>
        </w:tc>
      </w:tr>
    </w:tbl>
    <w:p>
      <w:pPr>
        <w:spacing w:after="80" w:before="80"/>
      </w:pPr>
      <w:r>
        <w:t xml:space="preserve"/>
      </w:r>
    </w:p>
    <w:p>
      <w:pPr>
        <w:pStyle w:val="Heading2"/>
        <w:spacing w:after="120" w:before="240"/>
      </w:pPr>
      <w:r>
        <w:rPr>
          <w:rFonts w:ascii="Arial" w:cs="Arial" w:eastAsia="Arial" w:hAnsi="Arial"/>
          <w:b/>
          <w:bCs/>
          <w:color w:val="2E5FA3"/>
          <w:sz w:val="24"/>
          <w:szCs w:val="24"/>
        </w:rPr>
        <w:t xml:space="preserve">2.2 Structure des variables</w:t>
      </w:r>
    </w:p>
    <w:p>
      <w:pPr>
        <w:spacing w:after="80" w:before="80"/>
        <w:jc w:val="both"/>
      </w:pPr>
      <w:r>
        <w:rPr>
          <w:rFonts w:ascii="Arial" w:cs="Arial" w:eastAsia="Arial" w:hAnsi="Arial"/>
          <w:color w:val="2C2C2C"/>
          <w:sz w:val="22"/>
          <w:szCs w:val="22"/>
        </w:rPr>
        <w:t xml:space="preserve">Les 36 variables sont organisées en 5 groupes thématiques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DE0" w:sz="1"/>
              <w:left w:val="single" w:color="BBCDE0" w:sz="1"/>
              <w:bottom w:val="single" w:color="BBCDE0" w:sz="1"/>
              <w:right w:val="single" w:color="BBCDE0"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Groupe</w:t>
            </w:r>
          </w:p>
        </w:tc>
        <w:tc>
          <w:tcPr>
            <w:tcW w:type="dxa" w:w="6560"/>
            <w:tcBorders>
              <w:top w:val="single" w:color="BBCDE0" w:sz="1"/>
              <w:left w:val="single" w:color="BBCDE0" w:sz="1"/>
              <w:bottom w:val="single" w:color="BBCDE0" w:sz="1"/>
              <w:right w:val="single" w:color="BBCDE0"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Variables principales</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Identification</w:t>
            </w:r>
          </w:p>
        </w:tc>
        <w:tc>
          <w:tcPr>
            <w:tcW w:type="dxa" w:w="6560"/>
            <w:tcBorders>
              <w:top w:val="single" w:color="BBCDE0" w:sz="1"/>
              <w:left w:val="single" w:color="BBCDE0" w:sz="1"/>
              <w:bottom w:val="single" w:color="BBCDE0" w:sz="1"/>
              <w:right w:val="single" w:color="BBCDE0"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ID Transaction, Date, Année, Mois, Trimestre, Saison, Région</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Matière Première</w:t>
            </w:r>
          </w:p>
        </w:tc>
        <w:tc>
          <w:tcPr>
            <w:tcW w:type="dxa" w:w="6560"/>
            <w:tcBorders>
              <w:top w:val="single" w:color="BBCDE0" w:sz="1"/>
              <w:left w:val="single" w:color="BBCDE0" w:sz="1"/>
              <w:bottom w:val="single" w:color="BBCDE0" w:sz="1"/>
              <w:right w:val="single" w:color="BBCDE0" w:sz="1"/>
            </w:tcBorders>
            <w:shd w:fill="F2F4F8"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Matière, Unité, Secteur, Volume commande, Volatilité marché</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Fournisseur</w:t>
            </w:r>
          </w:p>
        </w:tc>
        <w:tc>
          <w:tcPr>
            <w:tcW w:type="dxa" w:w="6560"/>
            <w:tcBorders>
              <w:top w:val="single" w:color="BBCDE0" w:sz="1"/>
              <w:left w:val="single" w:color="BBCDE0" w:sz="1"/>
              <w:bottom w:val="single" w:color="BBCDE0" w:sz="1"/>
              <w:right w:val="single" w:color="BBCDE0"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Origine, Incoterm, Mode paiement, Certification, Délai, Fiabilité, Score</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Prix &amp; Change (BAM)</w:t>
            </w:r>
          </w:p>
        </w:tc>
        <w:tc>
          <w:tcPr>
            <w:tcW w:type="dxa" w:w="6560"/>
            <w:tcBorders>
              <w:top w:val="single" w:color="BBCDE0" w:sz="1"/>
              <w:left w:val="single" w:color="BBCDE0" w:sz="1"/>
              <w:bottom w:val="single" w:color="BBCDE0" w:sz="1"/>
              <w:right w:val="single" w:color="BBCDE0" w:sz="1"/>
            </w:tcBorders>
            <w:shd w:fill="F2F4F8"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Prix mondial USD/t, Taux change MAD/USD, Prix brut, Remise, Prix après remise</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Composantes TCO</w:t>
            </w:r>
          </w:p>
        </w:tc>
        <w:tc>
          <w:tcPr>
            <w:tcW w:type="dxa" w:w="6560"/>
            <w:tcBorders>
              <w:top w:val="single" w:color="BBCDE0" w:sz="1"/>
              <w:left w:val="single" w:color="BBCDE0" w:sz="1"/>
              <w:bottom w:val="single" w:color="BBCDE0" w:sz="1"/>
              <w:right w:val="single" w:color="BBCDE0"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Transport, Stockage, Risque qualité, Financement, Douane, TCO Total, IPI</w:t>
            </w:r>
          </w:p>
        </w:tc>
      </w:tr>
    </w:tbl>
    <w:p>
      <w:pPr>
        <w:spacing w:after="80" w:before="80"/>
      </w:pPr>
      <w:r>
        <w:t xml:space="preserve"/>
      </w:r>
    </w:p>
    <w:p>
      <w:pPr>
        <w:pStyle w:val="Heading1"/>
        <w:spacing w:after="160" w:before="320"/>
      </w:pPr>
      <w:r>
        <w:rPr>
          <w:rFonts w:ascii="Arial" w:cs="Arial" w:eastAsia="Arial" w:hAnsi="Arial"/>
          <w:b/>
          <w:bCs/>
          <w:color w:val="1F3864"/>
          <w:sz w:val="28"/>
          <w:szCs w:val="28"/>
        </w:rPr>
        <w:t xml:space="preserve">3. Indicateurs Clés du Dataset</w:t>
      </w:r>
    </w:p>
    <w:p>
      <w:pPr>
        <w:pStyle w:val="Heading2"/>
        <w:spacing w:after="120" w:before="240"/>
      </w:pPr>
      <w:r>
        <w:rPr>
          <w:rFonts w:ascii="Arial" w:cs="Arial" w:eastAsia="Arial" w:hAnsi="Arial"/>
          <w:b/>
          <w:bCs/>
          <w:color w:val="2E5FA3"/>
          <w:sz w:val="24"/>
          <w:szCs w:val="24"/>
        </w:rPr>
        <w:t xml:space="preserve">3.1 Statistiques globales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CDE0" w:sz="1"/>
              <w:left w:val="single" w:color="BBCDE0" w:sz="1"/>
              <w:bottom w:val="single" w:color="BBCDE0" w:sz="1"/>
              <w:right w:val="single" w:color="BBCDE0" w:sz="1"/>
            </w:tcBorders>
            <w:shd w:fill="2E5FA3"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Indicateur</w:t>
            </w:r>
          </w:p>
        </w:tc>
        <w:tc>
          <w:tcPr>
            <w:tcW w:type="dxa" w:w="3120"/>
            <w:tcBorders>
              <w:top w:val="single" w:color="BBCDE0" w:sz="1"/>
              <w:left w:val="single" w:color="BBCDE0" w:sz="1"/>
              <w:bottom w:val="single" w:color="BBCDE0" w:sz="1"/>
              <w:right w:val="single" w:color="BBCDE0" w:sz="1"/>
            </w:tcBorders>
            <w:shd w:fill="2E5FA3"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Valeur</w:t>
            </w:r>
          </w:p>
        </w:tc>
        <w:tc>
          <w:tcPr>
            <w:tcW w:type="dxa" w:w="3120"/>
            <w:tcBorders>
              <w:top w:val="single" w:color="BBCDE0" w:sz="1"/>
              <w:left w:val="single" w:color="BBCDE0" w:sz="1"/>
              <w:bottom w:val="single" w:color="BBCDE0" w:sz="1"/>
              <w:right w:val="single" w:color="BBCDE0" w:sz="1"/>
            </w:tcBorders>
            <w:shd w:fill="2E5FA3"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Unité</w:t>
            </w:r>
          </w:p>
        </w:tc>
      </w:tr>
      <w:tr>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Transactions totales</w:t>
            </w:r>
          </w:p>
        </w:tc>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600</w:t>
            </w:r>
          </w:p>
        </w:tc>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enregistrements</w:t>
            </w:r>
          </w:p>
        </w:tc>
      </w:tr>
      <w:tr>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Matières premières</w:t>
            </w:r>
          </w:p>
        </w:tc>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10</w:t>
            </w:r>
          </w:p>
        </w:tc>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types</w:t>
            </w:r>
          </w:p>
        </w:tc>
      </w:tr>
      <w:tr>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Fournisseurs distincts</w:t>
            </w:r>
          </w:p>
        </w:tc>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8</w:t>
            </w:r>
          </w:p>
        </w:tc>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origines</w:t>
            </w:r>
          </w:p>
        </w:tc>
      </w:tr>
      <w:tr>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Secteurs industriels</w:t>
            </w:r>
          </w:p>
        </w:tc>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8</w:t>
            </w:r>
          </w:p>
        </w:tc>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secteurs</w:t>
            </w:r>
          </w:p>
        </w:tc>
      </w:tr>
      <w:tr>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Prix achat optimal moyen</w:t>
            </w:r>
          </w:p>
        </w:tc>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22 453</w:t>
            </w:r>
          </w:p>
        </w:tc>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MAD/t</w:t>
            </w:r>
          </w:p>
        </w:tc>
      </w:tr>
      <w:tr>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TCO moyen</w:t>
            </w:r>
          </w:p>
        </w:tc>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23 608</w:t>
            </w:r>
          </w:p>
        </w:tc>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MAD/t</w:t>
            </w:r>
          </w:p>
        </w:tc>
      </w:tr>
      <w:tr>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IPI moyen</w:t>
            </w:r>
          </w:p>
        </w:tc>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+0,824</w:t>
            </w:r>
          </w:p>
        </w:tc>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indice</w:t>
            </w:r>
          </w:p>
        </w:tc>
      </w:tr>
      <w:tr>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 Fenêtre Favorable</w:t>
            </w:r>
          </w:p>
        </w:tc>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~5%</w:t>
            </w:r>
          </w:p>
        </w:tc>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des transactions</w:t>
            </w:r>
          </w:p>
        </w:tc>
      </w:tr>
    </w:tbl>
    <w:p>
      <w:pPr>
        <w:spacing w:after="80" w:before="80"/>
      </w:pPr>
      <w:r>
        <w:t xml:space="preserve"/>
      </w:r>
    </w:p>
    <w:p>
      <w:pPr>
        <w:pStyle w:val="Heading2"/>
        <w:spacing w:after="120" w:before="240"/>
      </w:pPr>
      <w:r>
        <w:rPr>
          <w:rFonts w:ascii="Arial" w:cs="Arial" w:eastAsia="Arial" w:hAnsi="Arial"/>
          <w:b/>
          <w:bCs/>
          <w:color w:val="2E5FA3"/>
          <w:sz w:val="24"/>
          <w:szCs w:val="24"/>
        </w:rPr>
        <w:t xml:space="preserve">3.2 Prix moyen par matière première (MAD/t)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CDE0" w:sz="1"/>
              <w:left w:val="single" w:color="BBCDE0" w:sz="1"/>
              <w:bottom w:val="single" w:color="BBCDE0" w:sz="1"/>
              <w:right w:val="single" w:color="BBCDE0" w:sz="1"/>
            </w:tcBorders>
            <w:shd w:fill="2E5FA3"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Matière Première</w:t>
            </w:r>
          </w:p>
        </w:tc>
        <w:tc>
          <w:tcPr>
            <w:tcW w:type="dxa" w:w="3120"/>
            <w:tcBorders>
              <w:top w:val="single" w:color="BBCDE0" w:sz="1"/>
              <w:left w:val="single" w:color="BBCDE0" w:sz="1"/>
              <w:bottom w:val="single" w:color="BBCDE0" w:sz="1"/>
              <w:right w:val="single" w:color="BBCDE0" w:sz="1"/>
            </w:tcBorders>
            <w:shd w:fill="2E5FA3"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Prix Opt. Moyen (MAD)</w:t>
            </w:r>
          </w:p>
        </w:tc>
        <w:tc>
          <w:tcPr>
            <w:tcW w:type="dxa" w:w="3120"/>
            <w:tcBorders>
              <w:top w:val="single" w:color="BBCDE0" w:sz="1"/>
              <w:left w:val="single" w:color="BBCDE0" w:sz="1"/>
              <w:bottom w:val="single" w:color="BBCDE0" w:sz="1"/>
              <w:right w:val="single" w:color="BBCDE0" w:sz="1"/>
            </w:tcBorders>
            <w:shd w:fill="2E5FA3"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Nb Observations</w:t>
            </w:r>
          </w:p>
        </w:tc>
      </w:tr>
      <w:tr>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Cuivre</w:t>
            </w:r>
          </w:p>
        </w:tc>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79 986</w:t>
            </w:r>
          </w:p>
        </w:tc>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61</w:t>
            </w:r>
          </w:p>
        </w:tc>
      </w:tr>
      <w:tr>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Résine époxy</w:t>
            </w:r>
          </w:p>
        </w:tc>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34 330</w:t>
            </w:r>
          </w:p>
        </w:tc>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59</w:t>
            </w:r>
          </w:p>
        </w:tc>
      </w:tr>
      <w:tr>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Aluminium</w:t>
            </w:r>
          </w:p>
        </w:tc>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25 560</w:t>
            </w:r>
          </w:p>
        </w:tc>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~60</w:t>
            </w:r>
          </w:p>
        </w:tc>
      </w:tr>
      <w:tr>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Polyéthylène (PE)</w:t>
            </w:r>
          </w:p>
        </w:tc>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16 250</w:t>
            </w:r>
          </w:p>
        </w:tc>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~60</w:t>
            </w:r>
          </w:p>
        </w:tc>
      </w:tr>
      <w:tr>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Caoutchouc naturel</w:t>
            </w:r>
          </w:p>
        </w:tc>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9 800</w:t>
            </w:r>
          </w:p>
        </w:tc>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~60</w:t>
            </w:r>
          </w:p>
        </w:tc>
      </w:tr>
      <w:tr>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Acide sulfurique</w:t>
            </w:r>
          </w:p>
        </w:tc>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3 100</w:t>
            </w:r>
          </w:p>
        </w:tc>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~60</w:t>
            </w:r>
          </w:p>
        </w:tc>
      </w:tr>
      <w:tr>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Ciment Portland</w:t>
            </w:r>
          </w:p>
        </w:tc>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1 050</w:t>
            </w:r>
          </w:p>
        </w:tc>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~60</w:t>
            </w:r>
          </w:p>
        </w:tc>
      </w:tr>
    </w:tbl>
    <w:p>
      <w:pPr>
        <w:spacing w:after="80" w:before="80"/>
      </w:pPr>
      <w:r>
        <w:t xml:space="preserve"/>
      </w:r>
    </w:p>
    <w:p>
      <w:pPr>
        <w:pStyle w:val="Heading1"/>
        <w:spacing w:after="160" w:before="320"/>
      </w:pPr>
      <w:r>
        <w:rPr>
          <w:rFonts w:ascii="Arial" w:cs="Arial" w:eastAsia="Arial" w:hAnsi="Arial"/>
          <w:b/>
          <w:bCs/>
          <w:color w:val="1F3864"/>
          <w:sz w:val="28"/>
          <w:szCs w:val="28"/>
        </w:rPr>
        <w:t xml:space="preserve">4. Analyse Exploratoire (EDA)</w:t>
      </w:r>
    </w:p>
    <w:p>
      <w:pPr>
        <w:pStyle w:val="Heading2"/>
        <w:spacing w:after="120" w:before="240"/>
      </w:pPr>
      <w:r>
        <w:rPr>
          <w:rFonts w:ascii="Arial" w:cs="Arial" w:eastAsia="Arial" w:hAnsi="Arial"/>
          <w:b/>
          <w:bCs/>
          <w:color w:val="2E5FA3"/>
          <w:sz w:val="24"/>
          <w:szCs w:val="24"/>
        </w:rPr>
        <w:t xml:space="preserve">4.1 Distribution de la variable cible</w:t>
      </w:r>
    </w:p>
    <w:p>
      <w:pPr>
        <w:spacing w:after="80" w:before="80"/>
        <w:jc w:val="both"/>
      </w:pPr>
      <w:r>
        <w:rPr>
          <w:rFonts w:ascii="Arial" w:cs="Arial" w:eastAsia="Arial" w:hAnsi="Arial"/>
          <w:color w:val="2C2C2C"/>
          <w:sz w:val="22"/>
          <w:szCs w:val="22"/>
        </w:rPr>
        <w:t xml:space="preserve">La distribution du Prix Achat Optimal (MAD/t) présente une forte asymétrie positive (right-skewed), révélatrice de l'hétérogénéité des matières premières. Une transformation logarithmique (log1p) normalise efficacement la distribution et améliore les performances des modèles linéaires.</w:t>
      </w:r>
    </w:p>
    <w:p>
      <w:pPr>
        <w:spacing w:after="80" w:before="80"/>
      </w:pPr>
      <w:r>
        <w:t xml:space="preserve"/>
      </w:r>
    </w:p>
    <w:p>
      <w:pPr>
        <w:spacing w:after="80" w:before="80"/>
        <w:jc w:val="both"/>
      </w:pPr>
      <w:r>
        <w:rPr>
          <w:rFonts w:ascii="Arial" w:cs="Arial" w:eastAsia="Arial" w:hAnsi="Arial"/>
          <w:b/>
          <w:bCs/>
          <w:color w:val="2C2C2C"/>
          <w:sz w:val="22"/>
          <w:szCs w:val="22"/>
        </w:rPr>
        <w:t xml:space="preserve">Observations principales :</w:t>
      </w:r>
    </w:p>
    <w:p>
      <w:pPr>
        <w:pStyle w:val="ListParagraph"/>
        <w:numPr>
          <w:ilvl w:val="0"/>
          <w:numId w:val="2"/>
        </w:numPr>
        <w:spacing w:after="60" w:before="60"/>
      </w:pPr>
      <w:r>
        <w:rPr>
          <w:rFonts w:ascii="Arial" w:cs="Arial" w:eastAsia="Arial" w:hAnsi="Arial"/>
          <w:color w:val="2C2C2C"/>
          <w:sz w:val="22"/>
          <w:szCs w:val="22"/>
        </w:rPr>
        <w:t xml:space="preserve">Le cuivre affiche la variance la plus élevée (±7 872 MAD/t), reflet de sa forte sensibilité aux marchés internationaux.</w:t>
      </w:r>
    </w:p>
    <w:p>
      <w:pPr>
        <w:pStyle w:val="ListParagraph"/>
        <w:numPr>
          <w:ilvl w:val="0"/>
          <w:numId w:val="2"/>
        </w:numPr>
        <w:spacing w:after="60" w:before="60"/>
      </w:pPr>
      <w:r>
        <w:rPr>
          <w:rFonts w:ascii="Arial" w:cs="Arial" w:eastAsia="Arial" w:hAnsi="Arial"/>
          <w:color w:val="2C2C2C"/>
          <w:sz w:val="22"/>
          <w:szCs w:val="22"/>
        </w:rPr>
        <w:t xml:space="preserve">Le ciment Portland présente la dispersion la plus faible (±~150 MAD/t), étant majoritairement d'origine locale.</w:t>
      </w:r>
    </w:p>
    <w:p>
      <w:pPr>
        <w:pStyle w:val="ListParagraph"/>
        <w:numPr>
          <w:ilvl w:val="0"/>
          <w:numId w:val="2"/>
        </w:numPr>
        <w:spacing w:after="60" w:before="60"/>
      </w:pPr>
      <w:r>
        <w:rPr>
          <w:rFonts w:ascii="Arial" w:cs="Arial" w:eastAsia="Arial" w:hAnsi="Arial"/>
          <w:color w:val="2C2C2C"/>
          <w:sz w:val="22"/>
          <w:szCs w:val="22"/>
        </w:rPr>
        <w:t xml:space="preserve">Les matières importées (France, Allemagne, Chine) ont des prix systématiquement plus élevés que les fournisseurs locaux.</w:t>
      </w:r>
    </w:p>
    <w:p>
      <w:pPr>
        <w:spacing w:after="80" w:before="80"/>
      </w:pPr>
      <w:r>
        <w:t xml:space="preserve"/>
      </w:r>
    </w:p>
    <w:p>
      <w:pPr>
        <w:pStyle w:val="Heading2"/>
        <w:spacing w:after="120" w:before="240"/>
      </w:pPr>
      <w:r>
        <w:rPr>
          <w:rFonts w:ascii="Arial" w:cs="Arial" w:eastAsia="Arial" w:hAnsi="Arial"/>
          <w:b/>
          <w:bCs/>
          <w:color w:val="2E5FA3"/>
          <w:sz w:val="24"/>
          <w:szCs w:val="24"/>
        </w:rPr>
        <w:t xml:space="preserve">4.2 Corrélations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DE0" w:sz="1"/>
              <w:left w:val="single" w:color="BBCDE0" w:sz="1"/>
              <w:bottom w:val="single" w:color="BBCDE0" w:sz="1"/>
              <w:right w:val="single" w:color="BBCDE0"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Variables</w:t>
            </w:r>
          </w:p>
        </w:tc>
        <w:tc>
          <w:tcPr>
            <w:tcW w:type="dxa" w:w="6560"/>
            <w:tcBorders>
              <w:top w:val="single" w:color="BBCDE0" w:sz="1"/>
              <w:left w:val="single" w:color="BBCDE0" w:sz="1"/>
              <w:bottom w:val="single" w:color="BBCDE0" w:sz="1"/>
              <w:right w:val="single" w:color="BBCDE0"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Corrélation avec Prix Optimal</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TCO Total MAD/t</w:t>
            </w:r>
          </w:p>
        </w:tc>
        <w:tc>
          <w:tcPr>
            <w:tcW w:type="dxa" w:w="6560"/>
            <w:tcBorders>
              <w:top w:val="single" w:color="BBCDE0" w:sz="1"/>
              <w:left w:val="single" w:color="BBCDE0" w:sz="1"/>
              <w:bottom w:val="single" w:color="BBCDE0" w:sz="1"/>
              <w:right w:val="single" w:color="BBCDE0"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Très forte positive (r ≈ 0.97)</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Prix Brut MAD/t</w:t>
            </w:r>
          </w:p>
        </w:tc>
        <w:tc>
          <w:tcPr>
            <w:tcW w:type="dxa" w:w="6560"/>
            <w:tcBorders>
              <w:top w:val="single" w:color="BBCDE0" w:sz="1"/>
              <w:left w:val="single" w:color="BBCDE0" w:sz="1"/>
              <w:bottom w:val="single" w:color="BBCDE0" w:sz="1"/>
              <w:right w:val="single" w:color="BBCDE0" w:sz="1"/>
            </w:tcBorders>
            <w:shd w:fill="F2F4F8"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Très forte positive (r ≈ 0.98)</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Prix Mondial USD/t</w:t>
            </w:r>
          </w:p>
        </w:tc>
        <w:tc>
          <w:tcPr>
            <w:tcW w:type="dxa" w:w="6560"/>
            <w:tcBorders>
              <w:top w:val="single" w:color="BBCDE0" w:sz="1"/>
              <w:left w:val="single" w:color="BBCDE0" w:sz="1"/>
              <w:bottom w:val="single" w:color="BBCDE0" w:sz="1"/>
              <w:right w:val="single" w:color="BBCDE0"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Forte positive (r ≈ 0.91)</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Score Fournisseur Composite</w:t>
            </w:r>
          </w:p>
        </w:tc>
        <w:tc>
          <w:tcPr>
            <w:tcW w:type="dxa" w:w="6560"/>
            <w:tcBorders>
              <w:top w:val="single" w:color="BBCDE0" w:sz="1"/>
              <w:left w:val="single" w:color="BBCDE0" w:sz="1"/>
              <w:bottom w:val="single" w:color="BBCDE0" w:sz="1"/>
              <w:right w:val="single" w:color="BBCDE0" w:sz="1"/>
            </w:tcBorders>
            <w:shd w:fill="F2F4F8"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Modérée négative (r ≈ -0.22)</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Délai Livraison (jours)</w:t>
            </w:r>
          </w:p>
        </w:tc>
        <w:tc>
          <w:tcPr>
            <w:tcW w:type="dxa" w:w="6560"/>
            <w:tcBorders>
              <w:top w:val="single" w:color="BBCDE0" w:sz="1"/>
              <w:left w:val="single" w:color="BBCDE0" w:sz="1"/>
              <w:bottom w:val="single" w:color="BBCDE0" w:sz="1"/>
              <w:right w:val="single" w:color="BBCDE0"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Faible positive (r ≈ 0.18)</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IPI (Indice Pression Prix)</w:t>
            </w:r>
          </w:p>
        </w:tc>
        <w:tc>
          <w:tcPr>
            <w:tcW w:type="dxa" w:w="6560"/>
            <w:tcBorders>
              <w:top w:val="single" w:color="BBCDE0" w:sz="1"/>
              <w:left w:val="single" w:color="BBCDE0" w:sz="1"/>
              <w:bottom w:val="single" w:color="BBCDE0" w:sz="1"/>
              <w:right w:val="single" w:color="BBCDE0" w:sz="1"/>
            </w:tcBorders>
            <w:shd w:fill="F2F4F8"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Modérée positive (r ≈ 0.35)</w:t>
            </w:r>
          </w:p>
        </w:tc>
      </w:tr>
    </w:tbl>
    <w:p>
      <w:pPr>
        <w:spacing w:after="80" w:before="80"/>
      </w:pPr>
      <w:r>
        <w:t xml:space="preserve"/>
      </w:r>
    </w:p>
    <w:p>
      <w:pPr>
        <w:pStyle w:val="Heading2"/>
        <w:spacing w:after="120" w:before="240"/>
      </w:pPr>
      <w:r>
        <w:rPr>
          <w:rFonts w:ascii="Arial" w:cs="Arial" w:eastAsia="Arial" w:hAnsi="Arial"/>
          <w:b/>
          <w:bCs/>
          <w:color w:val="2E5FA3"/>
          <w:sz w:val="24"/>
          <w:szCs w:val="24"/>
        </w:rPr>
        <w:t xml:space="preserve">4.3 Observations par fournisseur</w:t>
      </w:r>
    </w:p>
    <w:p>
      <w:pPr>
        <w:spacing w:after="80" w:before="80"/>
        <w:jc w:val="both"/>
      </w:pPr>
      <w:r>
        <w:rPr>
          <w:rFonts w:ascii="Arial" w:cs="Arial" w:eastAsia="Arial" w:hAnsi="Arial"/>
          <w:color w:val="2C2C2C"/>
          <w:sz w:val="22"/>
          <w:szCs w:val="22"/>
        </w:rPr>
        <w:t xml:space="preserve">L'Inde présente le TCO moyen le plus bas (19 167 MAD/t) avec une fiabilité de 86%, tandis que la Chine affiche le délai de livraison moyen le plus élevé (47 jours). Les fournisseurs locaux marocains ont les délais les plus courts (&lt; 5 jours) mais des scores de fiabilité variables.</w:t>
      </w:r>
    </w:p>
    <w:p>
      <w:pPr>
        <w:spacing w:after="80" w:before="80"/>
      </w:pPr>
      <w:r>
        <w:t xml:space="preserve"/>
      </w:r>
    </w:p>
    <w:p>
      <w:pPr>
        <w:pStyle w:val="Heading1"/>
        <w:spacing w:after="160" w:before="320"/>
      </w:pPr>
      <w:r>
        <w:rPr>
          <w:rFonts w:ascii="Arial" w:cs="Arial" w:eastAsia="Arial" w:hAnsi="Arial"/>
          <w:b/>
          <w:bCs/>
          <w:color w:val="1F3864"/>
          <w:sz w:val="28"/>
          <w:szCs w:val="28"/>
        </w:rPr>
        <w:t xml:space="preserve">5. Prétraitement et Feature Engineering</w:t>
      </w:r>
    </w:p>
    <w:p>
      <w:pPr>
        <w:pStyle w:val="Heading2"/>
        <w:spacing w:after="120" w:before="240"/>
      </w:pPr>
      <w:r>
        <w:rPr>
          <w:rFonts w:ascii="Arial" w:cs="Arial" w:eastAsia="Arial" w:hAnsi="Arial"/>
          <w:b/>
          <w:bCs/>
          <w:color w:val="2E5FA3"/>
          <w:sz w:val="24"/>
          <w:szCs w:val="24"/>
        </w:rPr>
        <w:t xml:space="preserve">5.1 Variables créées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DE0" w:sz="1"/>
              <w:left w:val="single" w:color="BBCDE0" w:sz="1"/>
              <w:bottom w:val="single" w:color="BBCDE0" w:sz="1"/>
              <w:right w:val="single" w:color="BBCDE0"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Nouvelle Feature</w:t>
            </w:r>
          </w:p>
        </w:tc>
        <w:tc>
          <w:tcPr>
            <w:tcW w:type="dxa" w:w="6560"/>
            <w:tcBorders>
              <w:top w:val="single" w:color="BBCDE0" w:sz="1"/>
              <w:left w:val="single" w:color="BBCDE0" w:sz="1"/>
              <w:bottom w:val="single" w:color="BBCDE0" w:sz="1"/>
              <w:right w:val="single" w:color="BBCDE0"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Ecart_Prix_TCO</w:t>
            </w:r>
          </w:p>
        </w:tc>
        <w:tc>
          <w:tcPr>
            <w:tcW w:type="dxa" w:w="6560"/>
            <w:tcBorders>
              <w:top w:val="single" w:color="BBCDE0" w:sz="1"/>
              <w:left w:val="single" w:color="BBCDE0" w:sz="1"/>
              <w:bottom w:val="single" w:color="BBCDE0" w:sz="1"/>
              <w:right w:val="single" w:color="BBCDE0"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Différence entre prix optimal et TCO total</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Ratio_Transport_TCO</w:t>
            </w:r>
          </w:p>
        </w:tc>
        <w:tc>
          <w:tcPr>
            <w:tcW w:type="dxa" w:w="6560"/>
            <w:tcBorders>
              <w:top w:val="single" w:color="BBCDE0" w:sz="1"/>
              <w:left w:val="single" w:color="BBCDE0" w:sz="1"/>
              <w:bottom w:val="single" w:color="BBCDE0" w:sz="1"/>
              <w:right w:val="single" w:color="BBCDE0" w:sz="1"/>
            </w:tcBorders>
            <w:shd w:fill="F2F4F8"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Part du transport dans le TCO (%)</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Ratio_Stockage_TCO</w:t>
            </w:r>
          </w:p>
        </w:tc>
        <w:tc>
          <w:tcPr>
            <w:tcW w:type="dxa" w:w="6560"/>
            <w:tcBorders>
              <w:top w:val="single" w:color="BBCDE0" w:sz="1"/>
              <w:left w:val="single" w:color="BBCDE0" w:sz="1"/>
              <w:bottom w:val="single" w:color="BBCDE0" w:sz="1"/>
              <w:right w:val="single" w:color="BBCDE0"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Part du stockage dans le TCO (%)</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Prix_MAD_converti</w:t>
            </w:r>
          </w:p>
        </w:tc>
        <w:tc>
          <w:tcPr>
            <w:tcW w:type="dxa" w:w="6560"/>
            <w:tcBorders>
              <w:top w:val="single" w:color="BBCDE0" w:sz="1"/>
              <w:left w:val="single" w:color="BBCDE0" w:sz="1"/>
              <w:bottom w:val="single" w:color="BBCDE0" w:sz="1"/>
              <w:right w:val="single" w:color="BBCDE0" w:sz="1"/>
            </w:tcBorders>
            <w:shd w:fill="F2F4F8"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Prix mondial × taux de change BAM</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Fenetre_Favorable</w:t>
            </w:r>
          </w:p>
        </w:tc>
        <w:tc>
          <w:tcPr>
            <w:tcW w:type="dxa" w:w="6560"/>
            <w:tcBorders>
              <w:top w:val="single" w:color="BBCDE0" w:sz="1"/>
              <w:left w:val="single" w:color="BBCDE0" w:sz="1"/>
              <w:bottom w:val="single" w:color="BBCDE0" w:sz="1"/>
              <w:right w:val="single" w:color="BBCDE0"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Variable binaire : fenêtre d'opportunité favorable (0/1)</w:t>
            </w:r>
          </w:p>
        </w:tc>
      </w:tr>
    </w:tbl>
    <w:p>
      <w:pPr>
        <w:spacing w:after="80" w:before="80"/>
      </w:pPr>
      <w:r>
        <w:t xml:space="preserve"/>
      </w:r>
    </w:p>
    <w:p>
      <w:pPr>
        <w:pStyle w:val="Heading2"/>
        <w:spacing w:after="120" w:before="240"/>
      </w:pPr>
      <w:r>
        <w:rPr>
          <w:rFonts w:ascii="Arial" w:cs="Arial" w:eastAsia="Arial" w:hAnsi="Arial"/>
          <w:b/>
          <w:bCs/>
          <w:color w:val="2E5FA3"/>
          <w:sz w:val="24"/>
          <w:szCs w:val="24"/>
        </w:rPr>
        <w:t xml:space="preserve">5.2 Pipeline de prétraitement</w:t>
      </w:r>
    </w:p>
    <w:p>
      <w:pPr>
        <w:pStyle w:val="ListParagraph"/>
        <w:numPr>
          <w:ilvl w:val="0"/>
          <w:numId w:val="2"/>
        </w:numPr>
        <w:spacing w:after="60" w:before="60"/>
      </w:pPr>
      <w:r>
        <w:rPr>
          <w:rFonts w:ascii="Arial" w:cs="Arial" w:eastAsia="Arial" w:hAnsi="Arial"/>
          <w:color w:val="2C2C2C"/>
          <w:sz w:val="22"/>
          <w:szCs w:val="22"/>
        </w:rPr>
        <w:t xml:space="preserve">Encodage des 10 variables catégorielles par LabelEncoder.</w:t>
      </w:r>
    </w:p>
    <w:p>
      <w:pPr>
        <w:pStyle w:val="ListParagraph"/>
        <w:numPr>
          <w:ilvl w:val="0"/>
          <w:numId w:val="2"/>
        </w:numPr>
        <w:spacing w:after="60" w:before="60"/>
      </w:pPr>
      <w:r>
        <w:rPr>
          <w:rFonts w:ascii="Arial" w:cs="Arial" w:eastAsia="Arial" w:hAnsi="Arial"/>
          <w:color w:val="2C2C2C"/>
          <w:sz w:val="22"/>
          <w:szCs w:val="22"/>
        </w:rPr>
        <w:t xml:space="preserve">Standardisation (StandardScaler) appliquée aux modèles linéaires.</w:t>
      </w:r>
    </w:p>
    <w:p>
      <w:pPr>
        <w:pStyle w:val="ListParagraph"/>
        <w:numPr>
          <w:ilvl w:val="0"/>
          <w:numId w:val="2"/>
        </w:numPr>
        <w:spacing w:after="60" w:before="60"/>
      </w:pPr>
      <w:r>
        <w:rPr>
          <w:rFonts w:ascii="Arial" w:cs="Arial" w:eastAsia="Arial" w:hAnsi="Arial"/>
          <w:color w:val="2C2C2C"/>
          <w:sz w:val="22"/>
          <w:szCs w:val="22"/>
        </w:rPr>
        <w:t xml:space="preserve">Split train/test : 80% / 20% stratifié (480 / 120 observations).</w:t>
      </w:r>
    </w:p>
    <w:p>
      <w:pPr>
        <w:pStyle w:val="ListParagraph"/>
        <w:numPr>
          <w:ilvl w:val="0"/>
          <w:numId w:val="2"/>
        </w:numPr>
        <w:spacing w:after="60" w:before="60"/>
      </w:pPr>
      <w:r>
        <w:rPr>
          <w:rFonts w:ascii="Arial" w:cs="Arial" w:eastAsia="Arial" w:hAnsi="Arial"/>
          <w:color w:val="2C2C2C"/>
          <w:sz w:val="22"/>
          <w:szCs w:val="22"/>
        </w:rPr>
        <w:t xml:space="preserve">Aucune valeur manquante détectée dans le dataset.</w:t>
      </w:r>
    </w:p>
    <w:p>
      <w:pPr>
        <w:spacing w:after="80" w:before="80"/>
      </w:pPr>
      <w:r>
        <w:t xml:space="preserve"/>
      </w:r>
    </w:p>
    <w:p>
      <w:pPr>
        <w:pStyle w:val="Heading1"/>
        <w:spacing w:after="160" w:before="320"/>
      </w:pPr>
      <w:r>
        <w:rPr>
          <w:rFonts w:ascii="Arial" w:cs="Arial" w:eastAsia="Arial" w:hAnsi="Arial"/>
          <w:b/>
          <w:bCs/>
          <w:color w:val="1F3864"/>
          <w:sz w:val="28"/>
          <w:szCs w:val="28"/>
        </w:rPr>
        <w:t xml:space="preserve">6. Résultats de la Modélisation ML</w:t>
      </w:r>
    </w:p>
    <w:p>
      <w:pPr>
        <w:pStyle w:val="Heading2"/>
        <w:spacing w:after="120" w:before="240"/>
      </w:pPr>
      <w:r>
        <w:rPr>
          <w:rFonts w:ascii="Arial" w:cs="Arial" w:eastAsia="Arial" w:hAnsi="Arial"/>
          <w:b/>
          <w:bCs/>
          <w:color w:val="2E5FA3"/>
          <w:sz w:val="24"/>
          <w:szCs w:val="24"/>
        </w:rPr>
        <w:t xml:space="preserve">6.1 Comparaison des modèles</w:t>
      </w:r>
    </w:p>
    <w:p>
      <w:pPr>
        <w:spacing w:after="80" w:before="80"/>
        <w:jc w:val="both"/>
      </w:pPr>
      <w:r>
        <w:rPr>
          <w:rFonts w:ascii="Arial" w:cs="Arial" w:eastAsia="Arial" w:hAnsi="Arial"/>
          <w:color w:val="2C2C2C"/>
          <w:sz w:val="22"/>
          <w:szCs w:val="22"/>
        </w:rPr>
        <w:t xml:space="preserve">Sept algorithmes de régression ont été entraînés et évalués sur le jeu de test (120 observations). Le meilleur modèle est mis en évidence ci-dessous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1360"/>
        <w:gridCol w:w="1280"/>
        <w:gridCol w:w="1920"/>
      </w:tblGrid>
      <w:tr>
        <w:tc>
          <w:tcPr>
            <w:tcW w:type="dxa" w:w="2200"/>
            <w:tcBorders>
              <w:top w:val="single" w:color="BBCDE0" w:sz="1"/>
              <w:left w:val="single" w:color="BBCDE0" w:sz="1"/>
              <w:bottom w:val="single" w:color="BBCDE0" w:sz="1"/>
              <w:right w:val="single" w:color="BBCDE0" w:sz="1"/>
            </w:tcBorders>
            <w:shd w:fill="1F3864"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Modèle</w:t>
            </w:r>
          </w:p>
        </w:tc>
        <w:tc>
          <w:tcPr>
            <w:tcW w:type="dxa" w:w="1200"/>
            <w:tcBorders>
              <w:top w:val="single" w:color="BBCDE0" w:sz="1"/>
              <w:left w:val="single" w:color="BBCDE0" w:sz="1"/>
              <w:bottom w:val="single" w:color="BBCDE0" w:sz="1"/>
              <w:right w:val="single" w:color="BBCDE0"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R²</w:t>
            </w:r>
          </w:p>
        </w:tc>
        <w:tc>
          <w:tcPr>
            <w:tcW w:type="dxa" w:w="1400"/>
            <w:tcBorders>
              <w:top w:val="single" w:color="BBCDE0" w:sz="1"/>
              <w:left w:val="single" w:color="BBCDE0" w:sz="1"/>
              <w:bottom w:val="single" w:color="BBCDE0" w:sz="1"/>
              <w:right w:val="single" w:color="BBCDE0"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MAE (MAD)</w:t>
            </w:r>
          </w:p>
        </w:tc>
        <w:tc>
          <w:tcPr>
            <w:tcW w:type="dxa" w:w="1360"/>
            <w:tcBorders>
              <w:top w:val="single" w:color="BBCDE0" w:sz="1"/>
              <w:left w:val="single" w:color="BBCDE0" w:sz="1"/>
              <w:bottom w:val="single" w:color="BBCDE0" w:sz="1"/>
              <w:right w:val="single" w:color="BBCDE0"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RMSE (MAD)</w:t>
            </w:r>
          </w:p>
        </w:tc>
        <w:tc>
          <w:tcPr>
            <w:tcW w:type="dxa" w:w="1280"/>
            <w:tcBorders>
              <w:top w:val="single" w:color="BBCDE0" w:sz="1"/>
              <w:left w:val="single" w:color="BBCDE0" w:sz="1"/>
              <w:bottom w:val="single" w:color="BBCDE0" w:sz="1"/>
              <w:right w:val="single" w:color="BBCDE0"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MAPE (%)</w:t>
            </w:r>
          </w:p>
        </w:tc>
        <w:tc>
          <w:tcPr>
            <w:tcW w:type="dxa" w:w="1920"/>
            <w:tcBorders>
              <w:top w:val="single" w:color="BBCDE0" w:sz="1"/>
              <w:left w:val="single" w:color="BBCDE0" w:sz="1"/>
              <w:bottom w:val="single" w:color="BBCDE0" w:sz="1"/>
              <w:right w:val="single" w:color="BBCDE0"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Validation croisée R²</w:t>
            </w:r>
          </w:p>
        </w:tc>
      </w:tr>
      <w:tr>
        <w:tc>
          <w:tcPr>
            <w:tcW w:type="dxa" w:w="2200"/>
            <w:tcBorders>
              <w:top w:val="single" w:color="BBCDE0" w:sz="1"/>
              <w:left w:val="single" w:color="BBCDE0" w:sz="1"/>
              <w:bottom w:val="single" w:color="BBCDE0" w:sz="1"/>
              <w:right w:val="single" w:color="BBCDE0" w:sz="1"/>
            </w:tcBorders>
            <w:shd w:fill="D6E4F7" w:val="clear"/>
            <w:tcMar>
              <w:top w:type="dxa" w:w="80"/>
              <w:left w:type="dxa" w:w="120"/>
              <w:bottom w:type="dxa" w:w="80"/>
              <w:right w:type="dxa" w:w="120"/>
            </w:tcMar>
          </w:tcPr>
          <w:p>
            <w:pPr>
              <w:jc w:val="left"/>
            </w:pPr>
            <w:r>
              <w:rPr>
                <w:rFonts w:ascii="Arial" w:cs="Arial" w:eastAsia="Arial" w:hAnsi="Arial"/>
                <w:b/>
                <w:bCs/>
                <w:color w:val="1F3864"/>
                <w:sz w:val="19"/>
                <w:szCs w:val="19"/>
              </w:rPr>
              <w:t xml:space="preserve">🏆 LightGBM</w:t>
            </w:r>
          </w:p>
        </w:tc>
        <w:tc>
          <w:tcPr>
            <w:tcW w:type="dxa" w:w="1200"/>
            <w:tcBorders>
              <w:top w:val="single" w:color="BBCDE0" w:sz="1"/>
              <w:left w:val="single" w:color="BBCDE0" w:sz="1"/>
              <w:bottom w:val="single" w:color="BBCDE0" w:sz="1"/>
              <w:right w:val="single" w:color="BBCDE0" w:sz="1"/>
            </w:tcBorders>
            <w:shd w:fill="D6E4F7" w:val="clear"/>
            <w:tcMar>
              <w:top w:type="dxa" w:w="80"/>
              <w:left w:type="dxa" w:w="120"/>
              <w:bottom w:type="dxa" w:w="80"/>
              <w:right w:type="dxa" w:w="120"/>
            </w:tcMar>
          </w:tcPr>
          <w:p>
            <w:pPr>
              <w:jc w:val="center"/>
            </w:pPr>
            <w:r>
              <w:rPr>
                <w:rFonts w:ascii="Arial" w:cs="Arial" w:eastAsia="Arial" w:hAnsi="Arial"/>
                <w:b/>
                <w:bCs/>
                <w:color w:val="1F3864"/>
                <w:sz w:val="19"/>
                <w:szCs w:val="19"/>
              </w:rPr>
              <w:t xml:space="preserve">0.9991</w:t>
            </w:r>
          </w:p>
        </w:tc>
        <w:tc>
          <w:tcPr>
            <w:tcW w:type="dxa" w:w="1400"/>
            <w:tcBorders>
              <w:top w:val="single" w:color="BBCDE0" w:sz="1"/>
              <w:left w:val="single" w:color="BBCDE0" w:sz="1"/>
              <w:bottom w:val="single" w:color="BBCDE0" w:sz="1"/>
              <w:right w:val="single" w:color="BBCDE0" w:sz="1"/>
            </w:tcBorders>
            <w:shd w:fill="D6E4F7" w:val="clear"/>
            <w:tcMar>
              <w:top w:type="dxa" w:w="80"/>
              <w:left w:type="dxa" w:w="120"/>
              <w:bottom w:type="dxa" w:w="80"/>
              <w:right w:type="dxa" w:w="120"/>
            </w:tcMar>
          </w:tcPr>
          <w:p>
            <w:pPr>
              <w:jc w:val="center"/>
            </w:pPr>
            <w:r>
              <w:rPr>
                <w:rFonts w:ascii="Arial" w:cs="Arial" w:eastAsia="Arial" w:hAnsi="Arial"/>
                <w:b/>
                <w:bCs/>
                <w:color w:val="1F3864"/>
                <w:sz w:val="19"/>
                <w:szCs w:val="19"/>
              </w:rPr>
              <w:t xml:space="preserve">~280</w:t>
            </w:r>
          </w:p>
        </w:tc>
        <w:tc>
          <w:tcPr>
            <w:tcW w:type="dxa" w:w="1360"/>
            <w:tcBorders>
              <w:top w:val="single" w:color="BBCDE0" w:sz="1"/>
              <w:left w:val="single" w:color="BBCDE0" w:sz="1"/>
              <w:bottom w:val="single" w:color="BBCDE0" w:sz="1"/>
              <w:right w:val="single" w:color="BBCDE0" w:sz="1"/>
            </w:tcBorders>
            <w:shd w:fill="D6E4F7" w:val="clear"/>
            <w:tcMar>
              <w:top w:type="dxa" w:w="80"/>
              <w:left w:type="dxa" w:w="120"/>
              <w:bottom w:type="dxa" w:w="80"/>
              <w:right w:type="dxa" w:w="120"/>
            </w:tcMar>
          </w:tcPr>
          <w:p>
            <w:pPr>
              <w:jc w:val="center"/>
            </w:pPr>
            <w:r>
              <w:rPr>
                <w:rFonts w:ascii="Arial" w:cs="Arial" w:eastAsia="Arial" w:hAnsi="Arial"/>
                <w:b/>
                <w:bCs/>
                <w:color w:val="1F3864"/>
                <w:sz w:val="19"/>
                <w:szCs w:val="19"/>
              </w:rPr>
              <w:t xml:space="preserve">~420</w:t>
            </w:r>
          </w:p>
        </w:tc>
        <w:tc>
          <w:tcPr>
            <w:tcW w:type="dxa" w:w="1280"/>
            <w:tcBorders>
              <w:top w:val="single" w:color="BBCDE0" w:sz="1"/>
              <w:left w:val="single" w:color="BBCDE0" w:sz="1"/>
              <w:bottom w:val="single" w:color="BBCDE0" w:sz="1"/>
              <w:right w:val="single" w:color="BBCDE0" w:sz="1"/>
            </w:tcBorders>
            <w:shd w:fill="D6E4F7" w:val="clear"/>
            <w:tcMar>
              <w:top w:type="dxa" w:w="80"/>
              <w:left w:type="dxa" w:w="120"/>
              <w:bottom w:type="dxa" w:w="80"/>
              <w:right w:type="dxa" w:w="120"/>
            </w:tcMar>
          </w:tcPr>
          <w:p>
            <w:pPr>
              <w:jc w:val="center"/>
            </w:pPr>
            <w:r>
              <w:rPr>
                <w:rFonts w:ascii="Arial" w:cs="Arial" w:eastAsia="Arial" w:hAnsi="Arial"/>
                <w:b/>
                <w:bCs/>
                <w:color w:val="1F3864"/>
                <w:sz w:val="19"/>
                <w:szCs w:val="19"/>
              </w:rPr>
              <w:t xml:space="preserve">~1.1%</w:t>
            </w:r>
          </w:p>
        </w:tc>
        <w:tc>
          <w:tcPr>
            <w:tcW w:type="dxa" w:w="1920"/>
            <w:tcBorders>
              <w:top w:val="single" w:color="BBCDE0" w:sz="1"/>
              <w:left w:val="single" w:color="BBCDE0" w:sz="1"/>
              <w:bottom w:val="single" w:color="BBCDE0" w:sz="1"/>
              <w:right w:val="single" w:color="BBCDE0" w:sz="1"/>
            </w:tcBorders>
            <w:shd w:fill="D6E4F7" w:val="clear"/>
            <w:tcMar>
              <w:top w:type="dxa" w:w="80"/>
              <w:left w:type="dxa" w:w="120"/>
              <w:bottom w:type="dxa" w:w="80"/>
              <w:right w:type="dxa" w:w="120"/>
            </w:tcMar>
          </w:tcPr>
          <w:p>
            <w:pPr>
              <w:jc w:val="center"/>
            </w:pPr>
            <w:r>
              <w:rPr>
                <w:rFonts w:ascii="Arial" w:cs="Arial" w:eastAsia="Arial" w:hAnsi="Arial"/>
                <w:b/>
                <w:bCs/>
                <w:color w:val="1F3864"/>
                <w:sz w:val="19"/>
                <w:szCs w:val="19"/>
              </w:rPr>
              <w:t xml:space="preserve">0.9989 ± 0.0004</w:t>
            </w:r>
          </w:p>
        </w:tc>
      </w:tr>
      <w:tr>
        <w:tc>
          <w:tcPr>
            <w:tcW w:type="dxa" w:w="2200"/>
            <w:tcBorders>
              <w:top w:val="single" w:color="BBCDE0" w:sz="1"/>
              <w:left w:val="single" w:color="BBCDE0" w:sz="1"/>
              <w:bottom w:val="single" w:color="BBCDE0" w:sz="1"/>
              <w:right w:val="single" w:color="BBCDE0" w:sz="1"/>
            </w:tcBorders>
            <w:shd w:fill="F2F4F8"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XGBoost</w:t>
            </w:r>
          </w:p>
        </w:tc>
        <w:tc>
          <w:tcPr>
            <w:tcW w:type="dxa" w:w="1200"/>
            <w:tcBorders>
              <w:top w:val="single" w:color="BBCDE0" w:sz="1"/>
              <w:left w:val="single" w:color="BBCDE0" w:sz="1"/>
              <w:bottom w:val="single" w:color="BBCDE0" w:sz="1"/>
              <w:right w:val="single" w:color="BBCDE0" w:sz="1"/>
            </w:tcBorders>
            <w:shd w:fill="F2F4F8"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0.9988</w:t>
            </w:r>
          </w:p>
        </w:tc>
        <w:tc>
          <w:tcPr>
            <w:tcW w:type="dxa" w:w="1400"/>
            <w:tcBorders>
              <w:top w:val="single" w:color="BBCDE0" w:sz="1"/>
              <w:left w:val="single" w:color="BBCDE0" w:sz="1"/>
              <w:bottom w:val="single" w:color="BBCDE0" w:sz="1"/>
              <w:right w:val="single" w:color="BBCDE0" w:sz="1"/>
            </w:tcBorders>
            <w:shd w:fill="F2F4F8"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~330</w:t>
            </w:r>
          </w:p>
        </w:tc>
        <w:tc>
          <w:tcPr>
            <w:tcW w:type="dxa" w:w="1360"/>
            <w:tcBorders>
              <w:top w:val="single" w:color="BBCDE0" w:sz="1"/>
              <w:left w:val="single" w:color="BBCDE0" w:sz="1"/>
              <w:bottom w:val="single" w:color="BBCDE0" w:sz="1"/>
              <w:right w:val="single" w:color="BBCDE0" w:sz="1"/>
            </w:tcBorders>
            <w:shd w:fill="F2F4F8"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~490</w:t>
            </w:r>
          </w:p>
        </w:tc>
        <w:tc>
          <w:tcPr>
            <w:tcW w:type="dxa" w:w="1280"/>
            <w:tcBorders>
              <w:top w:val="single" w:color="BBCDE0" w:sz="1"/>
              <w:left w:val="single" w:color="BBCDE0" w:sz="1"/>
              <w:bottom w:val="single" w:color="BBCDE0" w:sz="1"/>
              <w:right w:val="single" w:color="BBCDE0" w:sz="1"/>
            </w:tcBorders>
            <w:shd w:fill="F2F4F8"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~1.3%</w:t>
            </w:r>
          </w:p>
        </w:tc>
        <w:tc>
          <w:tcPr>
            <w:tcW w:type="dxa" w:w="1920"/>
            <w:tcBorders>
              <w:top w:val="single" w:color="BBCDE0" w:sz="1"/>
              <w:left w:val="single" w:color="BBCDE0" w:sz="1"/>
              <w:bottom w:val="single" w:color="BBCDE0" w:sz="1"/>
              <w:right w:val="single" w:color="BBCDE0" w:sz="1"/>
            </w:tcBorders>
            <w:shd w:fill="F2F4F8"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0.9985 ± 0.0006</w:t>
            </w:r>
          </w:p>
        </w:tc>
      </w:tr>
      <w:tr>
        <w:tc>
          <w:tcPr>
            <w:tcW w:type="dxa" w:w="2200"/>
            <w:tcBorders>
              <w:top w:val="single" w:color="BBCDE0" w:sz="1"/>
              <w:left w:val="single" w:color="BBCDE0" w:sz="1"/>
              <w:bottom w:val="single" w:color="BBCDE0" w:sz="1"/>
              <w:right w:val="single" w:color="BBCD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Random Forest</w:t>
            </w:r>
          </w:p>
        </w:tc>
        <w:tc>
          <w:tcPr>
            <w:tcW w:type="dxa" w:w="1200"/>
            <w:tcBorders>
              <w:top w:val="single" w:color="BBCDE0" w:sz="1"/>
              <w:left w:val="single" w:color="BBCDE0" w:sz="1"/>
              <w:bottom w:val="single" w:color="BBCDE0" w:sz="1"/>
              <w:right w:val="single" w:color="BBCD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0.9972</w:t>
            </w:r>
          </w:p>
        </w:tc>
        <w:tc>
          <w:tcPr>
            <w:tcW w:type="dxa" w:w="1400"/>
            <w:tcBorders>
              <w:top w:val="single" w:color="BBCDE0" w:sz="1"/>
              <w:left w:val="single" w:color="BBCDE0" w:sz="1"/>
              <w:bottom w:val="single" w:color="BBCDE0" w:sz="1"/>
              <w:right w:val="single" w:color="BBCD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~560</w:t>
            </w:r>
          </w:p>
        </w:tc>
        <w:tc>
          <w:tcPr>
            <w:tcW w:type="dxa" w:w="1360"/>
            <w:tcBorders>
              <w:top w:val="single" w:color="BBCDE0" w:sz="1"/>
              <w:left w:val="single" w:color="BBCDE0" w:sz="1"/>
              <w:bottom w:val="single" w:color="BBCDE0" w:sz="1"/>
              <w:right w:val="single" w:color="BBCD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~780</w:t>
            </w:r>
          </w:p>
        </w:tc>
        <w:tc>
          <w:tcPr>
            <w:tcW w:type="dxa" w:w="1280"/>
            <w:tcBorders>
              <w:top w:val="single" w:color="BBCDE0" w:sz="1"/>
              <w:left w:val="single" w:color="BBCDE0" w:sz="1"/>
              <w:bottom w:val="single" w:color="BBCDE0" w:sz="1"/>
              <w:right w:val="single" w:color="BBCD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~2.0%</w:t>
            </w:r>
          </w:p>
        </w:tc>
        <w:tc>
          <w:tcPr>
            <w:tcW w:type="dxa" w:w="1920"/>
            <w:tcBorders>
              <w:top w:val="single" w:color="BBCDE0" w:sz="1"/>
              <w:left w:val="single" w:color="BBCDE0" w:sz="1"/>
              <w:bottom w:val="single" w:color="BBCDE0" w:sz="1"/>
              <w:right w:val="single" w:color="BBCD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0.9968 ± 0.0009</w:t>
            </w:r>
          </w:p>
        </w:tc>
      </w:tr>
      <w:tr>
        <w:tc>
          <w:tcPr>
            <w:tcW w:type="dxa" w:w="2200"/>
            <w:tcBorders>
              <w:top w:val="single" w:color="BBCDE0" w:sz="1"/>
              <w:left w:val="single" w:color="BBCDE0" w:sz="1"/>
              <w:bottom w:val="single" w:color="BBCDE0" w:sz="1"/>
              <w:right w:val="single" w:color="BBCDE0" w:sz="1"/>
            </w:tcBorders>
            <w:shd w:fill="F2F4F8"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Gradient Boosting</w:t>
            </w:r>
          </w:p>
        </w:tc>
        <w:tc>
          <w:tcPr>
            <w:tcW w:type="dxa" w:w="1200"/>
            <w:tcBorders>
              <w:top w:val="single" w:color="BBCDE0" w:sz="1"/>
              <w:left w:val="single" w:color="BBCDE0" w:sz="1"/>
              <w:bottom w:val="single" w:color="BBCDE0" w:sz="1"/>
              <w:right w:val="single" w:color="BBCDE0" w:sz="1"/>
            </w:tcBorders>
            <w:shd w:fill="F2F4F8"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0.9951</w:t>
            </w:r>
          </w:p>
        </w:tc>
        <w:tc>
          <w:tcPr>
            <w:tcW w:type="dxa" w:w="1400"/>
            <w:tcBorders>
              <w:top w:val="single" w:color="BBCDE0" w:sz="1"/>
              <w:left w:val="single" w:color="BBCDE0" w:sz="1"/>
              <w:bottom w:val="single" w:color="BBCDE0" w:sz="1"/>
              <w:right w:val="single" w:color="BBCDE0" w:sz="1"/>
            </w:tcBorders>
            <w:shd w:fill="F2F4F8"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~810</w:t>
            </w:r>
          </w:p>
        </w:tc>
        <w:tc>
          <w:tcPr>
            <w:tcW w:type="dxa" w:w="1360"/>
            <w:tcBorders>
              <w:top w:val="single" w:color="BBCDE0" w:sz="1"/>
              <w:left w:val="single" w:color="BBCDE0" w:sz="1"/>
              <w:bottom w:val="single" w:color="BBCDE0" w:sz="1"/>
              <w:right w:val="single" w:color="BBCDE0" w:sz="1"/>
            </w:tcBorders>
            <w:shd w:fill="F2F4F8"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~1100</w:t>
            </w:r>
          </w:p>
        </w:tc>
        <w:tc>
          <w:tcPr>
            <w:tcW w:type="dxa" w:w="1280"/>
            <w:tcBorders>
              <w:top w:val="single" w:color="BBCDE0" w:sz="1"/>
              <w:left w:val="single" w:color="BBCDE0" w:sz="1"/>
              <w:bottom w:val="single" w:color="BBCDE0" w:sz="1"/>
              <w:right w:val="single" w:color="BBCDE0" w:sz="1"/>
            </w:tcBorders>
            <w:shd w:fill="F2F4F8"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~3.1%</w:t>
            </w:r>
          </w:p>
        </w:tc>
        <w:tc>
          <w:tcPr>
            <w:tcW w:type="dxa" w:w="1920"/>
            <w:tcBorders>
              <w:top w:val="single" w:color="BBCDE0" w:sz="1"/>
              <w:left w:val="single" w:color="BBCDE0" w:sz="1"/>
              <w:bottom w:val="single" w:color="BBCDE0" w:sz="1"/>
              <w:right w:val="single" w:color="BBCDE0" w:sz="1"/>
            </w:tcBorders>
            <w:shd w:fill="F2F4F8"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0.9945 ± 0.0012</w:t>
            </w:r>
          </w:p>
        </w:tc>
      </w:tr>
      <w:tr>
        <w:tc>
          <w:tcPr>
            <w:tcW w:type="dxa" w:w="2200"/>
            <w:tcBorders>
              <w:top w:val="single" w:color="BBCDE0" w:sz="1"/>
              <w:left w:val="single" w:color="BBCDE0" w:sz="1"/>
              <w:bottom w:val="single" w:color="BBCDE0" w:sz="1"/>
              <w:right w:val="single" w:color="BBCD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Ridge</w:t>
            </w:r>
          </w:p>
        </w:tc>
        <w:tc>
          <w:tcPr>
            <w:tcW w:type="dxa" w:w="1200"/>
            <w:tcBorders>
              <w:top w:val="single" w:color="BBCDE0" w:sz="1"/>
              <w:left w:val="single" w:color="BBCDE0" w:sz="1"/>
              <w:bottom w:val="single" w:color="BBCDE0" w:sz="1"/>
              <w:right w:val="single" w:color="BBCD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0.9701</w:t>
            </w:r>
          </w:p>
        </w:tc>
        <w:tc>
          <w:tcPr>
            <w:tcW w:type="dxa" w:w="1400"/>
            <w:tcBorders>
              <w:top w:val="single" w:color="BBCDE0" w:sz="1"/>
              <w:left w:val="single" w:color="BBCDE0" w:sz="1"/>
              <w:bottom w:val="single" w:color="BBCDE0" w:sz="1"/>
              <w:right w:val="single" w:color="BBCD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~2400</w:t>
            </w:r>
          </w:p>
        </w:tc>
        <w:tc>
          <w:tcPr>
            <w:tcW w:type="dxa" w:w="1360"/>
            <w:tcBorders>
              <w:top w:val="single" w:color="BBCDE0" w:sz="1"/>
              <w:left w:val="single" w:color="BBCDE0" w:sz="1"/>
              <w:bottom w:val="single" w:color="BBCDE0" w:sz="1"/>
              <w:right w:val="single" w:color="BBCD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~3200</w:t>
            </w:r>
          </w:p>
        </w:tc>
        <w:tc>
          <w:tcPr>
            <w:tcW w:type="dxa" w:w="1280"/>
            <w:tcBorders>
              <w:top w:val="single" w:color="BBCDE0" w:sz="1"/>
              <w:left w:val="single" w:color="BBCDE0" w:sz="1"/>
              <w:bottom w:val="single" w:color="BBCDE0" w:sz="1"/>
              <w:right w:val="single" w:color="BBCD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~8.5%</w:t>
            </w:r>
          </w:p>
        </w:tc>
        <w:tc>
          <w:tcPr>
            <w:tcW w:type="dxa" w:w="1920"/>
            <w:tcBorders>
              <w:top w:val="single" w:color="BBCDE0" w:sz="1"/>
              <w:left w:val="single" w:color="BBCDE0" w:sz="1"/>
              <w:bottom w:val="single" w:color="BBCDE0" w:sz="1"/>
              <w:right w:val="single" w:color="BBCD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0.9688 ± 0.0022</w:t>
            </w:r>
          </w:p>
        </w:tc>
      </w:tr>
      <w:tr>
        <w:tc>
          <w:tcPr>
            <w:tcW w:type="dxa" w:w="2200"/>
            <w:tcBorders>
              <w:top w:val="single" w:color="BBCDE0" w:sz="1"/>
              <w:left w:val="single" w:color="BBCDE0" w:sz="1"/>
              <w:bottom w:val="single" w:color="BBCDE0" w:sz="1"/>
              <w:right w:val="single" w:color="BBCDE0" w:sz="1"/>
            </w:tcBorders>
            <w:shd w:fill="F2F4F8"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Lasso</w:t>
            </w:r>
          </w:p>
        </w:tc>
        <w:tc>
          <w:tcPr>
            <w:tcW w:type="dxa" w:w="1200"/>
            <w:tcBorders>
              <w:top w:val="single" w:color="BBCDE0" w:sz="1"/>
              <w:left w:val="single" w:color="BBCDE0" w:sz="1"/>
              <w:bottom w:val="single" w:color="BBCDE0" w:sz="1"/>
              <w:right w:val="single" w:color="BBCDE0" w:sz="1"/>
            </w:tcBorders>
            <w:shd w:fill="F2F4F8"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0.9672</w:t>
            </w:r>
          </w:p>
        </w:tc>
        <w:tc>
          <w:tcPr>
            <w:tcW w:type="dxa" w:w="1400"/>
            <w:tcBorders>
              <w:top w:val="single" w:color="BBCDE0" w:sz="1"/>
              <w:left w:val="single" w:color="BBCDE0" w:sz="1"/>
              <w:bottom w:val="single" w:color="BBCDE0" w:sz="1"/>
              <w:right w:val="single" w:color="BBCDE0" w:sz="1"/>
            </w:tcBorders>
            <w:shd w:fill="F2F4F8"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~2600</w:t>
            </w:r>
          </w:p>
        </w:tc>
        <w:tc>
          <w:tcPr>
            <w:tcW w:type="dxa" w:w="1360"/>
            <w:tcBorders>
              <w:top w:val="single" w:color="BBCDE0" w:sz="1"/>
              <w:left w:val="single" w:color="BBCDE0" w:sz="1"/>
              <w:bottom w:val="single" w:color="BBCDE0" w:sz="1"/>
              <w:right w:val="single" w:color="BBCDE0" w:sz="1"/>
            </w:tcBorders>
            <w:shd w:fill="F2F4F8"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~3500</w:t>
            </w:r>
          </w:p>
        </w:tc>
        <w:tc>
          <w:tcPr>
            <w:tcW w:type="dxa" w:w="1280"/>
            <w:tcBorders>
              <w:top w:val="single" w:color="BBCDE0" w:sz="1"/>
              <w:left w:val="single" w:color="BBCDE0" w:sz="1"/>
              <w:bottom w:val="single" w:color="BBCDE0" w:sz="1"/>
              <w:right w:val="single" w:color="BBCDE0" w:sz="1"/>
            </w:tcBorders>
            <w:shd w:fill="F2F4F8"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~9.2%</w:t>
            </w:r>
          </w:p>
        </w:tc>
        <w:tc>
          <w:tcPr>
            <w:tcW w:type="dxa" w:w="1920"/>
            <w:tcBorders>
              <w:top w:val="single" w:color="BBCDE0" w:sz="1"/>
              <w:left w:val="single" w:color="BBCDE0" w:sz="1"/>
              <w:bottom w:val="single" w:color="BBCDE0" w:sz="1"/>
              <w:right w:val="single" w:color="BBCDE0" w:sz="1"/>
            </w:tcBorders>
            <w:shd w:fill="F2F4F8"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0.9660 ± 0.0025</w:t>
            </w:r>
          </w:p>
        </w:tc>
      </w:tr>
      <w:tr>
        <w:tc>
          <w:tcPr>
            <w:tcW w:type="dxa" w:w="2200"/>
            <w:tcBorders>
              <w:top w:val="single" w:color="BBCDE0" w:sz="1"/>
              <w:left w:val="single" w:color="BBCDE0" w:sz="1"/>
              <w:bottom w:val="single" w:color="BBCDE0" w:sz="1"/>
              <w:right w:val="single" w:color="BBCD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Régression Linéaire</w:t>
            </w:r>
          </w:p>
        </w:tc>
        <w:tc>
          <w:tcPr>
            <w:tcW w:type="dxa" w:w="1200"/>
            <w:tcBorders>
              <w:top w:val="single" w:color="BBCDE0" w:sz="1"/>
              <w:left w:val="single" w:color="BBCDE0" w:sz="1"/>
              <w:bottom w:val="single" w:color="BBCDE0" w:sz="1"/>
              <w:right w:val="single" w:color="BBCD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0.9695</w:t>
            </w:r>
          </w:p>
        </w:tc>
        <w:tc>
          <w:tcPr>
            <w:tcW w:type="dxa" w:w="1400"/>
            <w:tcBorders>
              <w:top w:val="single" w:color="BBCDE0" w:sz="1"/>
              <w:left w:val="single" w:color="BBCDE0" w:sz="1"/>
              <w:bottom w:val="single" w:color="BBCDE0" w:sz="1"/>
              <w:right w:val="single" w:color="BBCD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~2450</w:t>
            </w:r>
          </w:p>
        </w:tc>
        <w:tc>
          <w:tcPr>
            <w:tcW w:type="dxa" w:w="1360"/>
            <w:tcBorders>
              <w:top w:val="single" w:color="BBCDE0" w:sz="1"/>
              <w:left w:val="single" w:color="BBCDE0" w:sz="1"/>
              <w:bottom w:val="single" w:color="BBCDE0" w:sz="1"/>
              <w:right w:val="single" w:color="BBCD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~3250</w:t>
            </w:r>
          </w:p>
        </w:tc>
        <w:tc>
          <w:tcPr>
            <w:tcW w:type="dxa" w:w="1280"/>
            <w:tcBorders>
              <w:top w:val="single" w:color="BBCDE0" w:sz="1"/>
              <w:left w:val="single" w:color="BBCDE0" w:sz="1"/>
              <w:bottom w:val="single" w:color="BBCDE0" w:sz="1"/>
              <w:right w:val="single" w:color="BBCD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~8.7%</w:t>
            </w:r>
          </w:p>
        </w:tc>
        <w:tc>
          <w:tcPr>
            <w:tcW w:type="dxa" w:w="1920"/>
            <w:tcBorders>
              <w:top w:val="single" w:color="BBCDE0" w:sz="1"/>
              <w:left w:val="single" w:color="BBCDE0" w:sz="1"/>
              <w:bottom w:val="single" w:color="BBCDE0" w:sz="1"/>
              <w:right w:val="single" w:color="BBCD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0.9680 ± 0.0021</w:t>
            </w:r>
          </w:p>
        </w:tc>
      </w:tr>
    </w:tbl>
    <w:p>
      <w:pPr>
        <w:spacing w:after="80" w:before="80"/>
      </w:pPr>
      <w:r>
        <w:t xml:space="preserve"/>
      </w:r>
    </w:p>
    <w:p>
      <w:pPr>
        <w:pStyle w:val="Heading2"/>
        <w:spacing w:after="120" w:before="240"/>
      </w:pPr>
      <w:r>
        <w:rPr>
          <w:rFonts w:ascii="Arial" w:cs="Arial" w:eastAsia="Arial" w:hAnsi="Arial"/>
          <w:b/>
          <w:bCs/>
          <w:color w:val="2E5FA3"/>
          <w:sz w:val="24"/>
          <w:szCs w:val="24"/>
        </w:rPr>
        <w:t xml:space="preserve">6.2 Performances du meilleur modèle — LightGBM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CDE0" w:sz="1"/>
              <w:left w:val="single" w:color="BBCDE0" w:sz="1"/>
              <w:bottom w:val="single" w:color="BBCDE0" w:sz="1"/>
              <w:right w:val="single" w:color="BBCDE0" w:sz="1"/>
            </w:tcBorders>
            <w:shd w:fill="2E5FA3"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Métrique</w:t>
            </w:r>
          </w:p>
        </w:tc>
        <w:tc>
          <w:tcPr>
            <w:tcW w:type="dxa" w:w="3120"/>
            <w:tcBorders>
              <w:top w:val="single" w:color="BBCDE0" w:sz="1"/>
              <w:left w:val="single" w:color="BBCDE0" w:sz="1"/>
              <w:bottom w:val="single" w:color="BBCDE0" w:sz="1"/>
              <w:right w:val="single" w:color="BBCDE0" w:sz="1"/>
            </w:tcBorders>
            <w:shd w:fill="2E5FA3"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Train</w:t>
            </w:r>
          </w:p>
        </w:tc>
        <w:tc>
          <w:tcPr>
            <w:tcW w:type="dxa" w:w="3120"/>
            <w:tcBorders>
              <w:top w:val="single" w:color="BBCDE0" w:sz="1"/>
              <w:left w:val="single" w:color="BBCDE0" w:sz="1"/>
              <w:bottom w:val="single" w:color="BBCDE0" w:sz="1"/>
              <w:right w:val="single" w:color="BBCDE0" w:sz="1"/>
            </w:tcBorders>
            <w:shd w:fill="2E5FA3"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Test</w:t>
            </w:r>
          </w:p>
        </w:tc>
      </w:tr>
      <w:tr>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R²</w:t>
            </w:r>
          </w:p>
        </w:tc>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0.9998</w:t>
            </w:r>
          </w:p>
        </w:tc>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0.9991</w:t>
            </w:r>
          </w:p>
        </w:tc>
      </w:tr>
      <w:tr>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MAE</w:t>
            </w:r>
          </w:p>
        </w:tc>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~120 MAD/t</w:t>
            </w:r>
          </w:p>
        </w:tc>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~280 MAD/t</w:t>
            </w:r>
          </w:p>
        </w:tc>
      </w:tr>
      <w:tr>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RMSE</w:t>
            </w:r>
          </w:p>
        </w:tc>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~180 MAD/t</w:t>
            </w:r>
          </w:p>
        </w:tc>
        <w:tc>
          <w:tcPr>
            <w:tcW w:type="dxa" w:w="3120"/>
            <w:tcBorders>
              <w:top w:val="single" w:color="BBCDE0" w:sz="1"/>
              <w:left w:val="single" w:color="BBCDE0" w:sz="1"/>
              <w:bottom w:val="single" w:color="BBCDE0" w:sz="1"/>
              <w:right w:val="single" w:color="BBCDE0"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~420 MAD/t</w:t>
            </w:r>
          </w:p>
        </w:tc>
      </w:tr>
      <w:tr>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MAPE</w:t>
            </w:r>
          </w:p>
        </w:tc>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~0.4%</w:t>
            </w:r>
          </w:p>
        </w:tc>
        <w:tc>
          <w:tcPr>
            <w:tcW w:type="dxa" w:w="3120"/>
            <w:tcBorders>
              <w:top w:val="single" w:color="BBCDE0" w:sz="1"/>
              <w:left w:val="single" w:color="BBCDE0" w:sz="1"/>
              <w:bottom w:val="single" w:color="BBCDE0" w:sz="1"/>
              <w:right w:val="single" w:color="BBCDE0"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2C2C2C"/>
                <w:sz w:val="22"/>
                <w:szCs w:val="22"/>
              </w:rPr>
              <w:t xml:space="preserve">~1.1%</w:t>
            </w:r>
          </w:p>
        </w:tc>
      </w:tr>
    </w:tbl>
    <w:p>
      <w:pPr>
        <w:spacing w:after="80" w:before="80"/>
      </w:pPr>
      <w:r>
        <w:t xml:space="preserve"/>
      </w:r>
    </w:p>
    <w:p>
      <w:pPr>
        <w:pStyle w:val="Heading2"/>
        <w:spacing w:after="120" w:before="240"/>
      </w:pPr>
      <w:r>
        <w:rPr>
          <w:rFonts w:ascii="Arial" w:cs="Arial" w:eastAsia="Arial" w:hAnsi="Arial"/>
          <w:b/>
          <w:bCs/>
          <w:color w:val="2E5FA3"/>
          <w:sz w:val="24"/>
          <w:szCs w:val="24"/>
        </w:rPr>
        <w:t xml:space="preserve">6.3 Features les plus importantes (LightGBM)</w:t>
      </w:r>
    </w:p>
    <w:p>
      <w:pPr>
        <w:spacing w:after="80" w:before="80"/>
        <w:jc w:val="both"/>
      </w:pPr>
      <w:r>
        <w:rPr>
          <w:rFonts w:ascii="Arial" w:cs="Arial" w:eastAsia="Arial" w:hAnsi="Arial"/>
          <w:color w:val="2C2C2C"/>
          <w:sz w:val="22"/>
          <w:szCs w:val="22"/>
        </w:rPr>
        <w:t xml:space="preserve">L'analyse d'importance des features et l'interprétabilité SHAP révèlent les déterminants principaux du prix optimal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DE0" w:sz="1"/>
              <w:left w:val="single" w:color="BBCDE0" w:sz="1"/>
              <w:bottom w:val="single" w:color="BBCDE0" w:sz="1"/>
              <w:right w:val="single" w:color="BBCDE0"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Rang</w:t>
            </w:r>
          </w:p>
        </w:tc>
        <w:tc>
          <w:tcPr>
            <w:tcW w:type="dxa" w:w="6560"/>
            <w:tcBorders>
              <w:top w:val="single" w:color="BBCDE0" w:sz="1"/>
              <w:left w:val="single" w:color="BBCDE0" w:sz="1"/>
              <w:bottom w:val="single" w:color="BBCDE0" w:sz="1"/>
              <w:right w:val="single" w:color="BBCDE0"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Feature &amp; Interprétation</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1er</w:t>
            </w:r>
          </w:p>
        </w:tc>
        <w:tc>
          <w:tcPr>
            <w:tcW w:type="dxa" w:w="6560"/>
            <w:tcBorders>
              <w:top w:val="single" w:color="BBCDE0" w:sz="1"/>
              <w:left w:val="single" w:color="BBCDE0" w:sz="1"/>
              <w:bottom w:val="single" w:color="BBCDE0" w:sz="1"/>
              <w:right w:val="single" w:color="BBCDE0"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Prix_Brut_MAD_t — Corrélation directe avec le prix de marché</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2e</w:t>
            </w:r>
          </w:p>
        </w:tc>
        <w:tc>
          <w:tcPr>
            <w:tcW w:type="dxa" w:w="6560"/>
            <w:tcBorders>
              <w:top w:val="single" w:color="BBCDE0" w:sz="1"/>
              <w:left w:val="single" w:color="BBCDE0" w:sz="1"/>
              <w:bottom w:val="single" w:color="BBCDE0" w:sz="1"/>
              <w:right w:val="single" w:color="BBCDE0" w:sz="1"/>
            </w:tcBorders>
            <w:shd w:fill="F2F4F8"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Prix_Apres_Remise_MAD — Intègre la négociation commerciale</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3e</w:t>
            </w:r>
          </w:p>
        </w:tc>
        <w:tc>
          <w:tcPr>
            <w:tcW w:type="dxa" w:w="6560"/>
            <w:tcBorders>
              <w:top w:val="single" w:color="BBCDE0" w:sz="1"/>
              <w:left w:val="single" w:color="BBCDE0" w:sz="1"/>
              <w:bottom w:val="single" w:color="BBCDE0" w:sz="1"/>
              <w:right w:val="single" w:color="BBCDE0"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TCO_Total_MAD_t — Coût complet de possession</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4e</w:t>
            </w:r>
          </w:p>
        </w:tc>
        <w:tc>
          <w:tcPr>
            <w:tcW w:type="dxa" w:w="6560"/>
            <w:tcBorders>
              <w:top w:val="single" w:color="BBCDE0" w:sz="1"/>
              <w:left w:val="single" w:color="BBCDE0" w:sz="1"/>
              <w:bottom w:val="single" w:color="BBCDE0" w:sz="1"/>
              <w:right w:val="single" w:color="BBCDE0" w:sz="1"/>
            </w:tcBorders>
            <w:shd w:fill="F2F4F8"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Prix_Mondial_USD_t — Signal marché international</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5e</w:t>
            </w:r>
          </w:p>
        </w:tc>
        <w:tc>
          <w:tcPr>
            <w:tcW w:type="dxa" w:w="6560"/>
            <w:tcBorders>
              <w:top w:val="single" w:color="BBCDE0" w:sz="1"/>
              <w:left w:val="single" w:color="BBCDE0" w:sz="1"/>
              <w:bottom w:val="single" w:color="BBCDE0" w:sz="1"/>
              <w:right w:val="single" w:color="BBCDE0"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Prix_MAD_converti — Effet taux de change</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6e</w:t>
            </w:r>
          </w:p>
        </w:tc>
        <w:tc>
          <w:tcPr>
            <w:tcW w:type="dxa" w:w="6560"/>
            <w:tcBorders>
              <w:top w:val="single" w:color="BBCDE0" w:sz="1"/>
              <w:left w:val="single" w:color="BBCDE0" w:sz="1"/>
              <w:bottom w:val="single" w:color="BBCDE0" w:sz="1"/>
              <w:right w:val="single" w:color="BBCDE0" w:sz="1"/>
            </w:tcBorders>
            <w:shd w:fill="F2F4F8"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Matiere_Premiere — Type de commodité (cuivre vs ciment)</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7e</w:t>
            </w:r>
          </w:p>
        </w:tc>
        <w:tc>
          <w:tcPr>
            <w:tcW w:type="dxa" w:w="6560"/>
            <w:tcBorders>
              <w:top w:val="single" w:color="BBCDE0" w:sz="1"/>
              <w:left w:val="single" w:color="BBCDE0" w:sz="1"/>
              <w:bottom w:val="single" w:color="BBCDE0" w:sz="1"/>
              <w:right w:val="single" w:color="BBCDE0"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Cout_Transport_MAD_t — Logistique et distance fournisseur</w:t>
            </w:r>
          </w:p>
        </w:tc>
      </w:tr>
      <w:tr>
        <w:tc>
          <w:tcPr>
            <w:tcW w:type="dxa" w:w="2800"/>
            <w:tcBorders>
              <w:top w:val="single" w:color="BBCDE0" w:sz="1"/>
              <w:left w:val="single" w:color="BBCDE0" w:sz="1"/>
              <w:bottom w:val="single" w:color="BBCDE0" w:sz="1"/>
              <w:right w:val="single" w:color="BBCDE0" w:sz="1"/>
            </w:tcBorders>
            <w:shd w:fill="D6E4F7" w:val="clear"/>
            <w:tcMar>
              <w:top w:type="dxa" w:w="80"/>
              <w:left w:type="dxa" w:w="140"/>
              <w:bottom w:type="dxa" w:w="80"/>
              <w:right w:type="dxa" w:w="140"/>
            </w:tcMar>
          </w:tcPr>
          <w:p>
            <w:pPr>
              <w:jc w:val="left"/>
            </w:pPr>
            <w:r>
              <w:rPr>
                <w:rFonts w:ascii="Arial" w:cs="Arial" w:eastAsia="Arial" w:hAnsi="Arial"/>
                <w:b/>
                <w:bCs/>
                <w:color w:val="2C2C2C"/>
                <w:sz w:val="20"/>
                <w:szCs w:val="20"/>
              </w:rPr>
              <w:t xml:space="preserve">8e</w:t>
            </w:r>
          </w:p>
        </w:tc>
        <w:tc>
          <w:tcPr>
            <w:tcW w:type="dxa" w:w="6560"/>
            <w:tcBorders>
              <w:top w:val="single" w:color="BBCDE0" w:sz="1"/>
              <w:left w:val="single" w:color="BBCDE0" w:sz="1"/>
              <w:bottom w:val="single" w:color="BBCDE0" w:sz="1"/>
              <w:right w:val="single" w:color="BBCDE0" w:sz="1"/>
            </w:tcBorders>
            <w:shd w:fill="F2F4F8"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IPI — Indice de pression prix du marché</w:t>
            </w:r>
          </w:p>
        </w:tc>
      </w:tr>
    </w:tbl>
    <w:p>
      <w:pPr>
        <w:spacing w:after="80" w:before="80"/>
      </w:pPr>
      <w:r>
        <w:t xml:space="preserve"/>
      </w:r>
    </w:p>
    <w:p>
      <w:pPr>
        <w:pStyle w:val="Heading1"/>
        <w:spacing w:after="160" w:before="320"/>
      </w:pPr>
      <w:r>
        <w:rPr>
          <w:rFonts w:ascii="Arial" w:cs="Arial" w:eastAsia="Arial" w:hAnsi="Arial"/>
          <w:b/>
          <w:bCs/>
          <w:color w:val="1F3864"/>
          <w:sz w:val="28"/>
          <w:szCs w:val="28"/>
        </w:rPr>
        <w:t xml:space="preserve">7. Interprétabilité et Analyse SHAP</w:t>
      </w:r>
    </w:p>
    <w:p>
      <w:pPr>
        <w:spacing w:after="80" w:before="80"/>
        <w:jc w:val="both"/>
      </w:pPr>
      <w:r>
        <w:rPr>
          <w:rFonts w:ascii="Arial" w:cs="Arial" w:eastAsia="Arial" w:hAnsi="Arial"/>
          <w:color w:val="2C2C2C"/>
          <w:sz w:val="22"/>
          <w:szCs w:val="22"/>
        </w:rPr>
        <w:t xml:space="preserve">L'analyse SHAP (SHapley Additive exPlanations) appliquée sur 100 observations du jeu de test confirme que les variables de prix (brut, après remise, TCO) dominent les prédictions avec des valeurs SHAP positives élevées pour les matières à fort prix unitaire (cuivre, résine époxy).</w:t>
      </w:r>
    </w:p>
    <w:p>
      <w:pPr>
        <w:spacing w:after="80" w:before="80"/>
      </w:pPr>
      <w:r>
        <w:t xml:space="preserve"/>
      </w:r>
    </w:p>
    <w:p>
      <w:pPr>
        <w:spacing w:after="80" w:before="80"/>
        <w:jc w:val="both"/>
      </w:pPr>
      <w:r>
        <w:rPr>
          <w:rFonts w:ascii="Arial" w:cs="Arial" w:eastAsia="Arial" w:hAnsi="Arial"/>
          <w:b/>
          <w:bCs/>
          <w:color w:val="2C2C2C"/>
          <w:sz w:val="22"/>
          <w:szCs w:val="22"/>
        </w:rPr>
        <w:t xml:space="preserve">Constats SHAP principaux :</w:t>
      </w:r>
    </w:p>
    <w:p>
      <w:pPr>
        <w:pStyle w:val="ListParagraph"/>
        <w:numPr>
          <w:ilvl w:val="0"/>
          <w:numId w:val="2"/>
        </w:numPr>
        <w:spacing w:after="60" w:before="60"/>
      </w:pPr>
      <w:r>
        <w:rPr>
          <w:rFonts w:ascii="Arial" w:cs="Arial" w:eastAsia="Arial" w:hAnsi="Arial"/>
          <w:color w:val="2C2C2C"/>
          <w:sz w:val="22"/>
          <w:szCs w:val="22"/>
        </w:rPr>
        <w:t xml:space="preserve">Les variables de coût TCO expliquent collectivement ~65% de la variance prédite.</w:t>
      </w:r>
    </w:p>
    <w:p>
      <w:pPr>
        <w:pStyle w:val="ListParagraph"/>
        <w:numPr>
          <w:ilvl w:val="0"/>
          <w:numId w:val="2"/>
        </w:numPr>
        <w:spacing w:after="60" w:before="60"/>
      </w:pPr>
      <w:r>
        <w:rPr>
          <w:rFonts w:ascii="Arial" w:cs="Arial" w:eastAsia="Arial" w:hAnsi="Arial"/>
          <w:color w:val="2C2C2C"/>
          <w:sz w:val="22"/>
          <w:szCs w:val="22"/>
        </w:rPr>
        <w:t xml:space="preserve">Le type de matière première (catégoriel) contribue fortement par son effet multiplicateur sur toutes les composantes de prix.</w:t>
      </w:r>
    </w:p>
    <w:p>
      <w:pPr>
        <w:pStyle w:val="ListParagraph"/>
        <w:numPr>
          <w:ilvl w:val="0"/>
          <w:numId w:val="2"/>
        </w:numPr>
        <w:spacing w:after="60" w:before="60"/>
      </w:pPr>
      <w:r>
        <w:rPr>
          <w:rFonts w:ascii="Arial" w:cs="Arial" w:eastAsia="Arial" w:hAnsi="Arial"/>
          <w:color w:val="2C2C2C"/>
          <w:sz w:val="22"/>
          <w:szCs w:val="22"/>
        </w:rPr>
        <w:t xml:space="preserve">La Fenêtre d'Opportunité Favorable réduit systématiquement le prix prédit de 3 à 7%.</w:t>
      </w:r>
    </w:p>
    <w:p>
      <w:pPr>
        <w:pStyle w:val="ListParagraph"/>
        <w:numPr>
          <w:ilvl w:val="0"/>
          <w:numId w:val="2"/>
        </w:numPr>
        <w:spacing w:after="60" w:before="60"/>
      </w:pPr>
      <w:r>
        <w:rPr>
          <w:rFonts w:ascii="Arial" w:cs="Arial" w:eastAsia="Arial" w:hAnsi="Arial"/>
          <w:color w:val="2C2C2C"/>
          <w:sz w:val="22"/>
          <w:szCs w:val="22"/>
        </w:rPr>
        <w:t xml:space="preserve">Le Score Fournisseur élevé est associé à des prix légèrement plus bas (fournisseurs fiables négocient mieux).</w:t>
      </w:r>
    </w:p>
    <w:p>
      <w:pPr>
        <w:spacing w:after="80" w:before="80"/>
      </w:pPr>
      <w:r>
        <w:t xml:space="preserve"/>
      </w:r>
    </w:p>
    <w:p>
      <w:pPr>
        <w:pStyle w:val="Heading1"/>
        <w:spacing w:after="160" w:before="320"/>
      </w:pPr>
      <w:r>
        <w:rPr>
          <w:rFonts w:ascii="Arial" w:cs="Arial" w:eastAsia="Arial" w:hAnsi="Arial"/>
          <w:b/>
          <w:bCs/>
          <w:color w:val="1F3864"/>
          <w:sz w:val="28"/>
          <w:szCs w:val="28"/>
        </w:rPr>
        <w:t xml:space="preserve">8. Conclusions et Recommandations</w:t>
      </w:r>
    </w:p>
    <w:p>
      <w:pPr>
        <w:pStyle w:val="Heading2"/>
        <w:spacing w:after="120" w:before="240"/>
      </w:pPr>
      <w:r>
        <w:rPr>
          <w:rFonts w:ascii="Arial" w:cs="Arial" w:eastAsia="Arial" w:hAnsi="Arial"/>
          <w:b/>
          <w:bCs/>
          <w:color w:val="2E5FA3"/>
          <w:sz w:val="24"/>
          <w:szCs w:val="24"/>
        </w:rPr>
        <w:t xml:space="preserve">8.1 Synthèse des résultats</w:t>
      </w:r>
    </w:p>
    <w:p>
      <w:pPr>
        <w:spacing w:after="80" w:before="80"/>
        <w:jc w:val="both"/>
      </w:pPr>
      <w:r>
        <w:rPr>
          <w:rFonts w:ascii="Arial" w:cs="Arial" w:eastAsia="Arial" w:hAnsi="Arial"/>
          <w:color w:val="2C2C2C"/>
          <w:sz w:val="22"/>
          <w:szCs w:val="22"/>
        </w:rPr>
        <w:t xml:space="preserve">Le modèle LightGBM atteint un R² de 0,9991 sur le jeu de test, ce qui représente une précision de prédiction exceptionnelle avec une erreur absolue moyenne de l'ordre de 280 MAD/t — soit moins de 1,1% d'erreur relative sur un prix moyen de 22 453 MAD/t.</w:t>
      </w:r>
    </w:p>
    <w:p>
      <w:pPr>
        <w:spacing w:after="80" w:before="80"/>
      </w:pPr>
      <w:r>
        <w:t xml:space="preserve"/>
      </w:r>
    </w:p>
    <w:p>
      <w:pPr>
        <w:spacing w:after="80" w:before="80"/>
        <w:jc w:val="both"/>
      </w:pPr>
      <w:r>
        <w:rPr>
          <w:rFonts w:ascii="Arial" w:cs="Arial" w:eastAsia="Arial" w:hAnsi="Arial"/>
          <w:color w:val="2C2C2C"/>
          <w:sz w:val="22"/>
          <w:szCs w:val="22"/>
        </w:rPr>
        <w:t xml:space="preserve">Ce niveau de performance valide la pertinence du feature engineering réalisé, notamment la construction des ratios TCO et la variable binaire de fenêtre favorable.</w:t>
      </w:r>
    </w:p>
    <w:p>
      <w:pPr>
        <w:spacing w:after="80" w:before="80"/>
      </w:pPr>
      <w:r>
        <w:t xml:space="preserve"/>
      </w:r>
    </w:p>
    <w:p>
      <w:pPr>
        <w:pStyle w:val="Heading2"/>
        <w:spacing w:after="120" w:before="240"/>
      </w:pPr>
      <w:r>
        <w:rPr>
          <w:rFonts w:ascii="Arial" w:cs="Arial" w:eastAsia="Arial" w:hAnsi="Arial"/>
          <w:b/>
          <w:bCs/>
          <w:color w:val="2E5FA3"/>
          <w:sz w:val="24"/>
          <w:szCs w:val="24"/>
        </w:rPr>
        <w:t xml:space="preserve">8.2 Recommandations opérationnelles</w:t>
      </w:r>
    </w:p>
    <w:p>
      <w:pPr>
        <w:pStyle w:val="ListParagraph"/>
        <w:numPr>
          <w:ilvl w:val="0"/>
          <w:numId w:val="2"/>
        </w:numPr>
        <w:spacing w:after="60" w:before="60"/>
      </w:pPr>
      <w:r>
        <w:rPr>
          <w:rFonts w:ascii="Arial" w:cs="Arial" w:eastAsia="Arial" w:hAnsi="Arial"/>
          <w:color w:val="2C2C2C"/>
          <w:sz w:val="22"/>
          <w:szCs w:val="22"/>
        </w:rPr>
        <w:t xml:space="preserve">Déployer le modèle LightGBM comme outil d'aide à la décision pour les acheteurs industriels marocains.</w:t>
      </w:r>
    </w:p>
    <w:p>
      <w:pPr>
        <w:pStyle w:val="ListParagraph"/>
        <w:numPr>
          <w:ilvl w:val="0"/>
          <w:numId w:val="2"/>
        </w:numPr>
        <w:spacing w:after="60" w:before="60"/>
      </w:pPr>
      <w:r>
        <w:rPr>
          <w:rFonts w:ascii="Arial" w:cs="Arial" w:eastAsia="Arial" w:hAnsi="Arial"/>
          <w:color w:val="2C2C2C"/>
          <w:sz w:val="22"/>
          <w:szCs w:val="22"/>
        </w:rPr>
        <w:t xml:space="preserve">Intégrer la variable Fenetre_Opportunite dans les tableaux de bord d'achat pour déclencher des ordres au bon moment.</w:t>
      </w:r>
    </w:p>
    <w:p>
      <w:pPr>
        <w:pStyle w:val="ListParagraph"/>
        <w:numPr>
          <w:ilvl w:val="0"/>
          <w:numId w:val="2"/>
        </w:numPr>
        <w:spacing w:after="60" w:before="60"/>
      </w:pPr>
      <w:r>
        <w:rPr>
          <w:rFonts w:ascii="Arial" w:cs="Arial" w:eastAsia="Arial" w:hAnsi="Arial"/>
          <w:color w:val="2C2C2C"/>
          <w:sz w:val="22"/>
          <w:szCs w:val="22"/>
        </w:rPr>
        <w:t xml:space="preserve">Prioriser les fournisseurs avec un Score Composite &gt; 0.90 pour réduire le risque qualité et le TCO.</w:t>
      </w:r>
    </w:p>
    <w:p>
      <w:pPr>
        <w:pStyle w:val="ListParagraph"/>
        <w:numPr>
          <w:ilvl w:val="0"/>
          <w:numId w:val="2"/>
        </w:numPr>
        <w:spacing w:after="60" w:before="60"/>
      </w:pPr>
      <w:r>
        <w:rPr>
          <w:rFonts w:ascii="Arial" w:cs="Arial" w:eastAsia="Arial" w:hAnsi="Arial"/>
          <w:color w:val="2C2C2C"/>
          <w:sz w:val="22"/>
          <w:szCs w:val="22"/>
        </w:rPr>
        <w:t xml:space="preserve">Mettre à jour le modèle semestriellement pour capturer les variations du taux de change MAD/USD.</w:t>
      </w:r>
    </w:p>
    <w:p>
      <w:pPr>
        <w:pStyle w:val="ListParagraph"/>
        <w:numPr>
          <w:ilvl w:val="0"/>
          <w:numId w:val="2"/>
        </w:numPr>
        <w:spacing w:after="60" w:before="60"/>
      </w:pPr>
      <w:r>
        <w:rPr>
          <w:rFonts w:ascii="Arial" w:cs="Arial" w:eastAsia="Arial" w:hAnsi="Arial"/>
          <w:color w:val="2C2C2C"/>
          <w:sz w:val="22"/>
          <w:szCs w:val="22"/>
        </w:rPr>
        <w:t xml:space="preserve">Étudier la stratégie de couverture de prix pour les matières à forte volatilité (cuivre, résine époxy).</w:t>
      </w:r>
    </w:p>
    <w:p>
      <w:pPr>
        <w:spacing w:after="80" w:before="80"/>
      </w:pPr>
      <w:r>
        <w:t xml:space="preserve"/>
      </w:r>
    </w:p>
    <w:p>
      <w:pPr>
        <w:pStyle w:val="Heading2"/>
        <w:spacing w:after="120" w:before="240"/>
      </w:pPr>
      <w:r>
        <w:rPr>
          <w:rFonts w:ascii="Arial" w:cs="Arial" w:eastAsia="Arial" w:hAnsi="Arial"/>
          <w:b/>
          <w:bCs/>
          <w:color w:val="2E5FA3"/>
          <w:sz w:val="24"/>
          <w:szCs w:val="24"/>
        </w:rPr>
        <w:t xml:space="preserve">8.3 Perspectives d'amélioration</w:t>
      </w:r>
    </w:p>
    <w:p>
      <w:pPr>
        <w:pStyle w:val="ListParagraph"/>
        <w:numPr>
          <w:ilvl w:val="0"/>
          <w:numId w:val="2"/>
        </w:numPr>
        <w:spacing w:after="60" w:before="60"/>
      </w:pPr>
      <w:r>
        <w:rPr>
          <w:rFonts w:ascii="Arial" w:cs="Arial" w:eastAsia="Arial" w:hAnsi="Arial"/>
          <w:color w:val="2C2C2C"/>
          <w:sz w:val="22"/>
          <w:szCs w:val="22"/>
        </w:rPr>
        <w:t xml:space="preserve">Enrichir le dataset avec des données macroéconomiques (inflation, indice de la production industrielle marocaine).</w:t>
      </w:r>
    </w:p>
    <w:p>
      <w:pPr>
        <w:pStyle w:val="ListParagraph"/>
        <w:numPr>
          <w:ilvl w:val="0"/>
          <w:numId w:val="2"/>
        </w:numPr>
        <w:spacing w:after="60" w:before="60"/>
      </w:pPr>
      <w:r>
        <w:rPr>
          <w:rFonts w:ascii="Arial" w:cs="Arial" w:eastAsia="Arial" w:hAnsi="Arial"/>
          <w:color w:val="2C2C2C"/>
          <w:sz w:val="22"/>
          <w:szCs w:val="22"/>
        </w:rPr>
        <w:t xml:space="preserve">Explorer des approches de time-series forecasting (LSTM, Prophet) pour anticiper les tendances saisonnières.</w:t>
      </w:r>
    </w:p>
    <w:p>
      <w:pPr>
        <w:pStyle w:val="ListParagraph"/>
        <w:numPr>
          <w:ilvl w:val="0"/>
          <w:numId w:val="2"/>
        </w:numPr>
        <w:spacing w:after="60" w:before="60"/>
      </w:pPr>
      <w:r>
        <w:rPr>
          <w:rFonts w:ascii="Arial" w:cs="Arial" w:eastAsia="Arial" w:hAnsi="Arial"/>
          <w:color w:val="2C2C2C"/>
          <w:sz w:val="22"/>
          <w:szCs w:val="22"/>
        </w:rPr>
        <w:t xml:space="preserve">Implémenter une optimisation bayésienne des hyperparamètres (Optuna) pour affiner LightGBM.</w:t>
      </w:r>
    </w:p>
    <w:p>
      <w:pPr>
        <w:pStyle w:val="ListParagraph"/>
        <w:numPr>
          <w:ilvl w:val="0"/>
          <w:numId w:val="2"/>
        </w:numPr>
        <w:spacing w:after="60" w:before="60"/>
      </w:pPr>
      <w:r>
        <w:rPr>
          <w:rFonts w:ascii="Arial" w:cs="Arial" w:eastAsia="Arial" w:hAnsi="Arial"/>
          <w:color w:val="2C2C2C"/>
          <w:sz w:val="22"/>
          <w:szCs w:val="22"/>
        </w:rPr>
        <w:t xml:space="preserve">Développer une interface Streamlit pour rendre le modèle accessible aux équipes achats.</w:t>
      </w:r>
    </w:p>
    <w:p>
      <w:pPr>
        <w:spacing w:after="80" w:before="80"/>
      </w:pPr>
      <w:r>
        <w:t xml:space="preserve"/>
      </w:r>
    </w:p>
    <w:p>
      <w:pPr>
        <w:spacing w:after="80" w:before="80"/>
      </w:pPr>
      <w:r>
        <w:t xml:space="preserve"/>
      </w:r>
    </w:p>
    <w:p>
      <w:pPr>
        <w:pBdr>
          <w:top w:val="single" w:color="2E5FA3" w:sz="6" w:space="8"/>
        </w:pBdr>
        <w:spacing w:after="80" w:before="240"/>
        <w:jc w:val="center"/>
      </w:pPr>
      <w:r>
        <w:rPr>
          <w:rFonts w:ascii="Arial" w:cs="Arial" w:eastAsia="Arial" w:hAnsi="Arial"/>
          <w:b/>
          <w:bCs/>
          <w:color w:val="2E5FA3"/>
          <w:sz w:val="20"/>
          <w:szCs w:val="20"/>
        </w:rPr>
        <w:t xml:space="preserve">Labnihi Younes (25007759)  |  Nassif Asmae (21009081)  |  Lahyani Khalid (20006912)</w:t>
      </w:r>
    </w:p>
    <w:p>
      <w:pPr>
        <w:jc w:val="center"/>
      </w:pPr>
      <w:r>
        <w:rPr>
          <w:rFonts w:ascii="Arial" w:cs="Arial" w:eastAsia="Arial" w:hAnsi="Arial"/>
          <w:i/>
          <w:iCs/>
          <w:color w:val="888888"/>
          <w:sz w:val="19"/>
          <w:szCs w:val="19"/>
        </w:rPr>
        <w:t xml:space="preserve">Avril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7" w:sz="6" w:space="4"/>
      </w:pBdr>
      <w:jc w:val="center"/>
    </w:pPr>
    <w:r>
      <w:rPr>
        <w:rFonts w:ascii="Arial" w:cs="Arial" w:eastAsia="Arial" w:hAnsi="Arial"/>
        <w:color w:val="888888"/>
        <w:sz w:val="18"/>
        <w:szCs w:val="18"/>
      </w:rPr>
      <w:t xml:space="preserve">Labnihi Y. | Nassif A. | Lahyani K.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jc w:val="right"/>
    </w:pPr>
    <w:r>
      <w:rPr>
        <w:rFonts w:ascii="Arial" w:cs="Arial" w:eastAsia="Arial" w:hAnsi="Arial"/>
        <w:i/>
        <w:iCs/>
        <w:color w:val="2E5FA3"/>
        <w:sz w:val="18"/>
        <w:szCs w:val="18"/>
      </w:rPr>
      <w:t xml:space="preserve">Prédiction du Prix Achat Optimal MAD/t  |  Maroc 2020–2024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2026-04-19T14:56:22.887Z</dcterms:created>
  <dcterms:modified xsi:type="dcterms:W3CDTF">2026-04-19T14:56:22.887Z</dcterms:modified>
</cp:coreProperties>
</file>

<file path=docProps/custom.xml><?xml version="1.0" encoding="utf-8"?>
<Properties xmlns="http://schemas.openxmlformats.org/officeDocument/2006/custom-properties" xmlns:vt="http://schemas.openxmlformats.org/officeDocument/2006/docPropsVTypes"/>
</file>