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172A"/>
          <w:sz w:val="40"/>
        </w:rPr>
        <w:t>Methodology &amp; Model Selection Rationale</w:t>
      </w:r>
    </w:p>
    <w:p>
      <w:pPr>
        <w:spacing w:after="320"/>
      </w:pPr>
      <w:r>
        <w:rPr>
          <w:i/>
          <w:color w:val="475569"/>
          <w:sz w:val="22"/>
        </w:rPr>
        <w:t>Justification of Analytical Models, Centrality Metrics, Econometrics &amp; Visualization Tools</w:t>
      </w:r>
    </w:p>
    <w:p>
      <w:pPr>
        <w:spacing w:line="276" w:lineRule="auto" w:after="280"/>
      </w:pPr>
      <w:r>
        <w:rPr>
          <w:color w:val="1E293B"/>
          <w:sz w:val="20"/>
        </w:rPr>
        <w:t>This document outlines the methodological and econometric justification for every model, metric, and analytical tool deployed in Project 1 (Founder–Investor Network Analysis in the Indian Startup Ecosystem). For each technique, we specify how it was measured, why it was chosen, and why alternative methods were ruled out.</w:t>
      </w:r>
    </w:p>
    <w:p>
      <w:pPr>
        <w:spacing w:before="200" w:after="40"/>
      </w:pPr>
      <w:r>
        <w:rPr>
          <w:b/>
          <w:color w:val="1E3A8A"/>
          <w:sz w:val="23"/>
        </w:rPr>
        <w:t>1. Tripartite Heterogeneous Network Architecture (Founder → Startup ← Investor)</w:t>
      </w:r>
    </w:p>
    <w:p>
      <w:pPr>
        <w:spacing w:line="276" w:lineRule="auto" w:after="40"/>
      </w:pPr>
      <w:r>
        <w:rPr>
          <w:b/>
          <w:color w:val="0F172A"/>
          <w:sz w:val="19"/>
        </w:rPr>
        <w:t xml:space="preserve">• How Measured: </w:t>
      </w:r>
      <w:r>
        <w:rPr>
          <w:color w:val="1E293B"/>
          <w:sz w:val="19"/>
        </w:rPr>
        <w:t>Constructed a multi-relational graph G = (V, E) with three explicit node classes (Founders, Startups, Investors) connected by 'Founded' and 'Invested' relations weighted by round capital ($USD Mn).</w:t>
      </w:r>
    </w:p>
    <w:p>
      <w:pPr>
        <w:spacing w:line="276" w:lineRule="auto" w:after="120"/>
      </w:pPr>
      <w:r>
        <w:rPr>
          <w:b/>
          <w:color w:val="0F172A"/>
          <w:sz w:val="19"/>
        </w:rPr>
        <w:t xml:space="preserve">• Why Chosen &amp; Why Not Alternatives: </w:t>
      </w:r>
      <w:r>
        <w:rPr>
          <w:color w:val="1E293B"/>
          <w:sz w:val="19"/>
        </w:rPr>
        <w:t>Venture ecosystems are fundamentally tripartite: human capital (founders) and institutional financial capital (investors) interface through corporate vehicles (startups). Standard unipartite or simple bipartite projections collapse or discard the human founder dimension entirely.</w:t>
      </w:r>
    </w:p>
    <w:p>
      <w:pPr>
        <w:spacing w:before="200" w:after="40"/>
      </w:pPr>
      <w:r>
        <w:rPr>
          <w:b/>
          <w:color w:val="1E3A8A"/>
          <w:sz w:val="23"/>
        </w:rPr>
        <w:t>2. Degree Centrality (Direct Deal Flow &amp; Co-Founding Volume)</w:t>
      </w:r>
    </w:p>
    <w:p>
      <w:pPr>
        <w:spacing w:line="276" w:lineRule="auto" w:after="40"/>
      </w:pPr>
      <w:r>
        <w:rPr>
          <w:b/>
          <w:color w:val="0F172A"/>
          <w:sz w:val="19"/>
        </w:rPr>
        <w:t xml:space="preserve">• How Measured: </w:t>
      </w:r>
      <w:r>
        <w:rPr>
          <w:color w:val="1E293B"/>
          <w:sz w:val="19"/>
        </w:rPr>
        <w:t>Measured as the normalized count of incident edges for each vertex: C_D(v) = deg(v) / (|V| - 1), representing an investor's portfolio volume or a startup's syndicate size.</w:t>
      </w:r>
    </w:p>
    <w:p>
      <w:pPr>
        <w:spacing w:line="276" w:lineRule="auto" w:after="120"/>
      </w:pPr>
      <w:r>
        <w:rPr>
          <w:b/>
          <w:color w:val="0F172A"/>
          <w:sz w:val="19"/>
        </w:rPr>
        <w:t xml:space="preserve">• Why Chosen &amp; Why Not Alternatives: </w:t>
      </w:r>
      <w:r>
        <w:rPr>
          <w:color w:val="1E293B"/>
          <w:sz w:val="19"/>
        </w:rPr>
        <w:t>Provides an unweighted baseline of direct market activity and deal access. We avoided closeness centrality because startup networks contain disconnected components where geodesic distances become infinite or ill-defined.</w:t>
      </w:r>
    </w:p>
    <w:p>
      <w:pPr>
        <w:spacing w:before="200" w:after="40"/>
      </w:pPr>
      <w:r>
        <w:rPr>
          <w:b/>
          <w:color w:val="1E3A8A"/>
          <w:sz w:val="23"/>
        </w:rPr>
        <w:t>3. Betweenness Centrality (Information Brokerage &amp; Gatekeeping)</w:t>
      </w:r>
    </w:p>
    <w:p>
      <w:pPr>
        <w:spacing w:line="276" w:lineRule="auto" w:after="40"/>
      </w:pPr>
      <w:r>
        <w:rPr>
          <w:b/>
          <w:color w:val="0F172A"/>
          <w:sz w:val="19"/>
        </w:rPr>
        <w:t xml:space="preserve">• How Measured: </w:t>
      </w:r>
      <w:r>
        <w:rPr>
          <w:color w:val="1E293B"/>
          <w:sz w:val="19"/>
        </w:rPr>
        <w:t>Calculated the fraction of all network shortest paths traversing a given node: C_B(v) = ∑ [σ_st(v) / σ_st] (for s ≠ v ≠ t).</w:t>
      </w:r>
    </w:p>
    <w:p>
      <w:pPr>
        <w:spacing w:line="276" w:lineRule="auto" w:after="120"/>
      </w:pPr>
      <w:r>
        <w:rPr>
          <w:b/>
          <w:color w:val="0F172A"/>
          <w:sz w:val="19"/>
        </w:rPr>
        <w:t xml:space="preserve">• Why Chosen &amp; Why Not Alternatives: </w:t>
      </w:r>
      <w:r>
        <w:rPr>
          <w:color w:val="1E293B"/>
          <w:sz w:val="19"/>
        </w:rPr>
        <w:t>Identifies structural 'bridge' investors and serial founders who bridge otherwise disconnected industry sectors and regional hubs. Unlike closeness, betweenness isolates gatekeeping power and informational leverage across fragmented sub-networks.</w:t>
      </w:r>
    </w:p>
    <w:p>
      <w:pPr>
        <w:spacing w:before="200" w:after="40"/>
      </w:pPr>
      <w:r>
        <w:rPr>
          <w:b/>
          <w:color w:val="1E3A8A"/>
          <w:sz w:val="23"/>
        </w:rPr>
        <w:t>4. Eigenvector Centrality (Prestige by Elite Association)</w:t>
      </w:r>
    </w:p>
    <w:p>
      <w:pPr>
        <w:spacing w:line="276" w:lineRule="auto" w:after="40"/>
      </w:pPr>
      <w:r>
        <w:rPr>
          <w:b/>
          <w:color w:val="0F172A"/>
          <w:sz w:val="19"/>
        </w:rPr>
        <w:t xml:space="preserve">• How Measured: </w:t>
      </w:r>
      <w:r>
        <w:rPr>
          <w:color w:val="1E293B"/>
          <w:sz w:val="19"/>
        </w:rPr>
        <w:t>Determined by the principal eigenvector of the adjacency matrix: λx_v = ∑ x_u (for u ∈ Neighbors(v)), giving higher scores to entities tied to already-influential entities.</w:t>
      </w:r>
    </w:p>
    <w:p>
      <w:pPr>
        <w:spacing w:line="276" w:lineRule="auto" w:after="120"/>
      </w:pPr>
      <w:r>
        <w:rPr>
          <w:b/>
          <w:color w:val="0F172A"/>
          <w:sz w:val="19"/>
        </w:rPr>
        <w:t xml:space="preserve">• Why Chosen &amp; Why Not Alternatives: </w:t>
      </w:r>
      <w:r>
        <w:rPr>
          <w:color w:val="1E293B"/>
          <w:sz w:val="19"/>
        </w:rPr>
        <w:t>In venture capital, who backs you matters as much as how many back you. A simple degree count treats an investment from an elite lead fund identically to an isolated angel; eigenvector centrality corrects this by rewarding prestige-by-association.</w:t>
      </w:r>
    </w:p>
    <w:p>
      <w:pPr>
        <w:spacing w:before="200" w:after="40"/>
      </w:pPr>
      <w:r>
        <w:rPr>
          <w:b/>
          <w:color w:val="1E3A8A"/>
          <w:sz w:val="23"/>
        </w:rPr>
        <w:t>5. PageRank Algorithm (Recursive Capital Flow &amp; Market Prestige)</w:t>
      </w:r>
    </w:p>
    <w:p>
      <w:pPr>
        <w:spacing w:line="276" w:lineRule="auto" w:after="40"/>
      </w:pPr>
      <w:r>
        <w:rPr>
          <w:b/>
          <w:color w:val="0F172A"/>
          <w:sz w:val="19"/>
        </w:rPr>
        <w:t xml:space="preserve">• How Measured: </w:t>
      </w:r>
      <w:r>
        <w:rPr>
          <w:color w:val="1E293B"/>
          <w:sz w:val="19"/>
        </w:rPr>
        <w:t>Computed stationary random-walk probability with damping factor α = 0.85 and capital-weighted transition matrices across bilateral funding ties.</w:t>
      </w:r>
    </w:p>
    <w:p>
      <w:pPr>
        <w:spacing w:line="276" w:lineRule="auto" w:after="120"/>
      </w:pPr>
      <w:r>
        <w:rPr>
          <w:b/>
          <w:color w:val="0F172A"/>
          <w:sz w:val="19"/>
        </w:rPr>
        <w:t xml:space="preserve">• Why Chosen &amp; Why Not Alternatives: </w:t>
      </w:r>
      <w:r>
        <w:rPr>
          <w:color w:val="1E293B"/>
          <w:sz w:val="19"/>
        </w:rPr>
        <w:t>Eigenvector centrality frequently collapses onto localized dense clusters in sparse, bipartite venture graphs. PageRank's teleportation damping prevents localized rank trapping, realistically modeling diffuse prestige across the Indian venture ecosystem.</w:t>
      </w:r>
    </w:p>
    <w:p>
      <w:pPr>
        <w:spacing w:before="200" w:after="40"/>
      </w:pPr>
      <w:r>
        <w:rPr>
          <w:b/>
          <w:color w:val="1E3A8A"/>
          <w:sz w:val="23"/>
        </w:rPr>
        <w:t>6. Greedy Modularity Maximization (Investor Co-Investment Syndicates)</w:t>
      </w:r>
    </w:p>
    <w:p>
      <w:pPr>
        <w:spacing w:line="276" w:lineRule="auto" w:after="40"/>
      </w:pPr>
      <w:r>
        <w:rPr>
          <w:b/>
          <w:color w:val="0F172A"/>
          <w:sz w:val="19"/>
        </w:rPr>
        <w:t xml:space="preserve">• How Measured: </w:t>
      </w:r>
      <w:r>
        <w:rPr>
          <w:color w:val="1E293B"/>
          <w:sz w:val="19"/>
        </w:rPr>
        <w:t>Applied Newman's modularity optimization on the projected investor-investor graph (edge weights = shared portfolio companies) to partition funds into collaborative cliques.</w:t>
      </w:r>
    </w:p>
    <w:p>
      <w:pPr>
        <w:spacing w:line="276" w:lineRule="auto" w:after="120"/>
      </w:pPr>
      <w:r>
        <w:rPr>
          <w:b/>
          <w:color w:val="0F172A"/>
          <w:sz w:val="19"/>
        </w:rPr>
        <w:t xml:space="preserve">• Why Chosen &amp; Why Not Alternatives: </w:t>
      </w:r>
      <w:r>
        <w:rPr>
          <w:color w:val="1E293B"/>
          <w:sz w:val="19"/>
        </w:rPr>
        <w:t>Detects natural co-investment syndicates endogenously without requiring an arbitrary pre-specified number of clusters (k). Distance-based clustering (e.g., k-means, GMM) requires arbitrary Euclidean embeddings that distort topological network cohesion.</w:t>
      </w:r>
    </w:p>
    <w:p>
      <w:pPr>
        <w:spacing w:before="200" w:after="40"/>
      </w:pPr>
      <w:r>
        <w:rPr>
          <w:b/>
          <w:color w:val="1E3A8A"/>
          <w:sz w:val="23"/>
        </w:rPr>
        <w:t>7. Gini Coefficient &amp; Herfindahl-Hirschman Index (HHI) (Network Inequality)</w:t>
      </w:r>
    </w:p>
    <w:p>
      <w:pPr>
        <w:spacing w:line="276" w:lineRule="auto" w:after="40"/>
      </w:pPr>
      <w:r>
        <w:rPr>
          <w:b/>
          <w:color w:val="0F172A"/>
          <w:sz w:val="19"/>
        </w:rPr>
        <w:t xml:space="preserve">• How Measured: </w:t>
      </w:r>
      <w:r>
        <w:rPr>
          <w:color w:val="1E293B"/>
          <w:sz w:val="19"/>
        </w:rPr>
        <w:t>Gini was calculated from the empirical Lorenz curve of investor deal counts; HHI was computed as the sum of squared percentage deal shares across all active institutional funds.</w:t>
      </w:r>
    </w:p>
    <w:p>
      <w:pPr>
        <w:spacing w:line="276" w:lineRule="auto" w:after="120"/>
      </w:pPr>
      <w:r>
        <w:rPr>
          <w:b/>
          <w:color w:val="0F172A"/>
          <w:sz w:val="19"/>
        </w:rPr>
        <w:t xml:space="preserve">• Why Chosen &amp; Why Not Alternatives: </w:t>
      </w:r>
      <w:r>
        <w:rPr>
          <w:color w:val="1E293B"/>
          <w:sz w:val="19"/>
        </w:rPr>
        <w:t>These are the gold standards in economics for measuring distribution inequality and market concentration. Basic variance or standard deviation cannot quantify bounded, scale-invariant power-law skewness in venture deal allocation.</w:t>
      </w:r>
    </w:p>
    <w:p>
      <w:pPr>
        <w:spacing w:before="200" w:after="40"/>
      </w:pPr>
      <w:r>
        <w:rPr>
          <w:b/>
          <w:color w:val="1E3A8A"/>
          <w:sz w:val="23"/>
        </w:rPr>
        <w:t>8. Log-Linear OLS Regression with Robust Standard Errors (HC1)</w:t>
      </w:r>
    </w:p>
    <w:p>
      <w:pPr>
        <w:spacing w:line="276" w:lineRule="auto" w:after="40"/>
      </w:pPr>
      <w:r>
        <w:rPr>
          <w:b/>
          <w:color w:val="0F172A"/>
          <w:sz w:val="19"/>
        </w:rPr>
        <w:t xml:space="preserve">• How Measured: </w:t>
      </w:r>
      <w:r>
        <w:rPr>
          <w:color w:val="1E293B"/>
          <w:sz w:val="19"/>
        </w:rPr>
        <w:t>Estimated log(Funding Amount_i) against startup degree, investor PageRank prestige, founder team size, and sector/hub/stage fixed effects using White's heteroskedasticity-consistent variance estimator.</w:t>
      </w:r>
    </w:p>
    <w:p>
      <w:pPr>
        <w:spacing w:line="276" w:lineRule="auto" w:after="120"/>
      </w:pPr>
      <w:r>
        <w:rPr>
          <w:b/>
          <w:color w:val="0F172A"/>
          <w:sz w:val="19"/>
        </w:rPr>
        <w:t xml:space="preserve">• Why Chosen &amp; Why Not Alternatives: </w:t>
      </w:r>
      <w:r>
        <w:rPr>
          <w:color w:val="1E293B"/>
          <w:sz w:val="19"/>
        </w:rPr>
        <w:t>Our research goal is parameter inference and hypothesis testing (verifying if network position causes higher funding), not black-box prediction. OLS provides interpretable percentage elasticities; machine learning models (Random Forest, XGBoost) lack formal statistical p-values. Standard OLS was rejected because venture capital returns exhibit severe heteroskedasticity.</w:t>
      </w:r>
    </w:p>
    <w:p>
      <w:pPr>
        <w:spacing w:before="200" w:after="40"/>
      </w:pPr>
      <w:r>
        <w:rPr>
          <w:b/>
          <w:color w:val="1E3A8A"/>
          <w:sz w:val="23"/>
        </w:rPr>
        <w:t>9. PyVis Physics-Engine Interactive Visualization (Force-Directed Graph)</w:t>
      </w:r>
    </w:p>
    <w:p>
      <w:pPr>
        <w:spacing w:line="276" w:lineRule="auto" w:after="40"/>
      </w:pPr>
      <w:r>
        <w:rPr>
          <w:b/>
          <w:color w:val="0F172A"/>
          <w:sz w:val="19"/>
        </w:rPr>
        <w:t xml:space="preserve">• How Measured: </w:t>
      </w:r>
      <w:r>
        <w:rPr>
          <w:color w:val="1E293B"/>
          <w:sz w:val="19"/>
        </w:rPr>
        <w:t>Rendered a WebGL/HTML5 dynamic graph using the Barnes-Hut repulsion-gravity algorithm, mapping node type to distinct colors, sizing by PageRank, and enabling click-based neighborhood isolation.</w:t>
      </w:r>
    </w:p>
    <w:p>
      <w:pPr>
        <w:spacing w:line="276" w:lineRule="auto" w:after="120"/>
      </w:pPr>
      <w:r>
        <w:rPr>
          <w:b/>
          <w:color w:val="0F172A"/>
          <w:sz w:val="19"/>
        </w:rPr>
        <w:t xml:space="preserve">• Why Chosen &amp; Why Not Alternatives: </w:t>
      </w:r>
      <w:r>
        <w:rPr>
          <w:color w:val="1E293B"/>
          <w:sz w:val="19"/>
        </w:rPr>
        <w:t>Static matplotlib plots degenerate into unreadable 'hairballs' when visualizing 4,000+ entities. PyVis enables interactive panning, zooming, filtering, and local inspection of investment syndicates without needing custom front-end frameworks.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