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172A"/>
          <w:sz w:val="36"/>
        </w:rPr>
        <w:t>Executive Project Summary</w:t>
      </w:r>
    </w:p>
    <w:p>
      <w:pPr>
        <w:spacing w:after="280"/>
      </w:pPr>
      <w:r>
        <w:rPr>
          <w:i/>
          <w:color w:val="475569"/>
          <w:sz w:val="24"/>
        </w:rPr>
        <w:t>Founder–Investor Network Analysis in the Indian Startup Ecosystem</w:t>
      </w:r>
    </w:p>
    <w:p>
      <w:pPr>
        <w:spacing w:before="160" w:after="60"/>
      </w:pPr>
      <w:r>
        <w:rPr>
          <w:b/>
          <w:color w:val="1E3A8A"/>
          <w:sz w:val="24"/>
        </w:rPr>
        <w:t>Aim &amp; Core Question</w:t>
      </w:r>
    </w:p>
    <w:p>
      <w:pPr>
        <w:spacing w:line="276" w:lineRule="auto" w:after="120"/>
      </w:pPr>
      <w:r>
        <w:rPr>
          <w:color w:val="1E293B"/>
          <w:sz w:val="21"/>
        </w:rPr>
        <w:t>This project investigates how founders and investors are connected across the Indian startup ecosystem and whether network position directly predicts subsequent funding outcomes.</w:t>
      </w:r>
    </w:p>
    <w:p>
      <w:pPr>
        <w:spacing w:before="160" w:after="60"/>
      </w:pPr>
      <w:r>
        <w:rPr>
          <w:b/>
          <w:color w:val="1E3A8A"/>
          <w:sz w:val="24"/>
        </w:rPr>
        <w:t>Methods &amp; Rationale</w:t>
      </w:r>
    </w:p>
    <w:p>
      <w:pPr>
        <w:spacing w:line="276" w:lineRule="auto" w:after="120"/>
      </w:pPr>
      <w:r>
        <w:rPr>
          <w:color w:val="1E293B"/>
          <w:sz w:val="21"/>
        </w:rPr>
        <w:t>Using 1,209 verified deals, we constructed a tripartite network (Founder-Startup-Investor) comprising 4,002 entities and 3,881 ties. Multi-metric centralities (Degree, Betweenness, Eigenvector, PageRank) were computed to quantify connectivity, brokerage, and prestige. We applied modularity maximization to identify co-investment syndicates and calculated Gini and HHI metrics to measure capital concentration. Finally, heteroskedasticity-robust OLS regressions evaluated the relationship between network centrality and capital raised, controlling for stage, sector, and geographic fixed effects.</w:t>
      </w:r>
    </w:p>
    <w:p>
      <w:pPr>
        <w:spacing w:before="160" w:after="60"/>
      </w:pPr>
      <w:r>
        <w:rPr>
          <w:b/>
          <w:color w:val="1E3A8A"/>
          <w:sz w:val="24"/>
        </w:rPr>
        <w:t>Results &amp; Ecosystem Interpretation</w:t>
      </w:r>
    </w:p>
    <w:p>
      <w:pPr>
        <w:spacing w:line="276" w:lineRule="auto" w:after="120"/>
      </w:pPr>
      <w:r>
        <w:rPr>
          <w:color w:val="1E293B"/>
          <w:sz w:val="21"/>
        </w:rPr>
        <w:t>1. Structural Connectivity: 85.3% of entities form a single connected component, with Bengaluru and Delhi NCR anchoring over 60% of all activity.</w:t>
        <w:br/>
        <w:t>2. Market Concentration: High capital inequality exists (Gini = 0.365); the top 5% of investors (e.g., Tiger Global, Sequoia, Accel) dominate 24.5% of deal flow as core gatekeepers.</w:t>
        <w:br/>
        <w:t>3. Funding Premium: Startup degree (β = 0.223, p &lt; 0.001) and investor PageRank prestige (β = 276.69, p &lt; 0.001) significantly increase funding round size. Investor network prestige acts as a vital certification signal in Indian venture financing.</w:t>
      </w:r>
    </w:p>
    <w:p>
      <w:pPr>
        <w:spacing w:before="240"/>
      </w:pPr>
      <w:r>
        <w:rPr>
          <w:i/>
          <w:color w:val="94A3B8"/>
          <w:sz w:val="17"/>
        </w:rPr>
        <w:t>Total Body Word Count: 181 words (&lt; 200 words constraint satisfied)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