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E3A8A"/>
          <w:sz w:val="48"/>
        </w:rPr>
        <w:t>Project Methodology &amp; Implementation Guide</w:t>
      </w:r>
    </w:p>
    <w:p>
      <w:pPr>
        <w:spacing w:before="0" w:after="280"/>
      </w:pPr>
      <w:r>
        <w:rPr>
          <w:rFonts w:ascii="Calibri" w:hAnsi="Calibri"/>
          <w:i/>
          <w:color w:val="475569"/>
          <w:sz w:val="24"/>
        </w:rPr>
        <w:t>A Clear, Step-by-Step Explanation of How the Indian Startup Venture Analytics &amp; Prediction Suite Was Built</w:t>
      </w:r>
    </w:p>
    <w:p>
      <w:pPr>
        <w:keepNext/>
        <w:spacing w:before="120" w:after="120"/>
      </w:pPr>
      <w:r>
        <w:rPr>
          <w:rFonts w:ascii="Calibri" w:hAnsi="Calibri"/>
          <w:b/>
          <w:color w:val="1E3A8A"/>
          <w:sz w:val="30"/>
        </w:rPr>
        <w:t>Project Overview in Plain Language</w:t>
      </w:r>
    </w:p>
    <w:p>
      <w:pPr>
        <w:spacing w:before="0" w:after="120" w:line="276" w:lineRule="auto"/>
      </w:pPr>
      <w:r>
        <w:rPr>
          <w:rFonts w:ascii="Calibri" w:hAnsi="Calibri"/>
          <w:i w:val="0"/>
          <w:color w:val="1E293B"/>
          <w:sz w:val="22"/>
        </w:rPr>
        <w:t>In the fast-moving world of Indian tech startups, raising money often looks unpredictable. Why do some startups like Swiggy, Ola, or Meesho raise hundreds of millions of dollars across multiple rounds, while other startups with good ideas struggle after their first seed cheque? Is funding success determined purely by financial track records, or does the reputation and network of the investors backing the company act as an "unfair advantage"?</w:t>
      </w:r>
    </w:p>
    <w:p>
      <w:pPr>
        <w:spacing w:before="0" w:after="120" w:line="276" w:lineRule="auto"/>
      </w:pPr>
      <w:r>
        <w:rPr>
          <w:rFonts w:ascii="Calibri" w:hAnsi="Calibri"/>
          <w:i w:val="0"/>
          <w:color w:val="1E293B"/>
          <w:sz w:val="22"/>
        </w:rPr>
        <w:t>To answer this, this project combines two powerful tools in data science: Network Analysis (mapping who knows whom and who invests with whom) and Machine Learning (training algorithms to predict future funding amounts and whether a startup will survive to raise follow-on rounds). By linking these two tools together, we created an end-to-end analytical pipeline that explains and predicts venture capital outcomes in easy-to-understand terms.</w:t>
      </w:r>
    </w:p>
    <w:p>
      <w:pPr>
        <w:keepNext/>
        <w:spacing w:before="280" w:after="120"/>
      </w:pPr>
      <w:r>
        <w:rPr>
          <w:rFonts w:ascii="Calibri" w:hAnsi="Calibri"/>
          <w:b/>
          <w:color w:val="1E3A8A"/>
          <w:sz w:val="26"/>
        </w:rPr>
        <w:t>Step 1: Gathering the Real-World Data</w:t>
      </w:r>
    </w:p>
    <w:p>
      <w:pPr>
        <w:spacing w:before="0" w:after="120" w:line="276" w:lineRule="auto"/>
      </w:pPr>
      <w:r>
        <w:rPr>
          <w:rFonts w:ascii="Calibri" w:hAnsi="Calibri"/>
          <w:i w:val="0"/>
          <w:color w:val="1E293B"/>
          <w:sz w:val="22"/>
        </w:rPr>
        <w:t>To build an accurate picture of the Indian venture landscape, we gathered and synthesized two complementary real-world datasets spanning thousands of verified funding transactions:</w:t>
      </w:r>
    </w:p>
    <w:p>
      <w:pPr>
        <w:pStyle w:val="ListBullet"/>
        <w:spacing w:before="0" w:after="80" w:line="276" w:lineRule="auto"/>
      </w:pPr>
      <w:r>
        <w:rPr>
          <w:rFonts w:ascii="Calibri" w:hAnsi="Calibri"/>
          <w:b/>
          <w:color w:val="1E293B"/>
          <w:sz w:val="22"/>
        </w:rPr>
        <w:t xml:space="preserve">Dataset 1 (Founder &amp; Investor Ties): </w:t>
      </w:r>
      <w:r>
        <w:rPr>
          <w:rFonts w:ascii="Calibri" w:hAnsi="Calibri"/>
          <w:color w:val="1E293B"/>
          <w:sz w:val="22"/>
        </w:rPr>
        <w:t xml:space="preserve"> This dataset contains 1,209 detailed funding deals. It provides critical information on the human side of business: startup names, founding years, headquarter cities, business sectors, specific founder names, and participating investor names.</w:t>
      </w:r>
    </w:p>
    <w:p>
      <w:pPr>
        <w:pStyle w:val="ListBullet"/>
        <w:spacing w:before="0" w:after="80" w:line="276" w:lineRule="auto"/>
      </w:pPr>
      <w:r>
        <w:rPr>
          <w:rFonts w:ascii="Calibri" w:hAnsi="Calibri"/>
          <w:b/>
          <w:color w:val="1E293B"/>
          <w:sz w:val="22"/>
        </w:rPr>
        <w:t xml:space="preserve">Dataset 2 (Longitudinal Funding Deals): </w:t>
      </w:r>
      <w:r>
        <w:rPr>
          <w:rFonts w:ascii="Calibri" w:hAnsi="Calibri"/>
          <w:color w:val="1E293B"/>
          <w:sz w:val="22"/>
        </w:rPr>
        <w:t xml:space="preserve"> This dataset contains 3,044 financing transactions recorded from January 2015 to January 2020. It captures exact transaction dates, startup names, industry verticals, sub-verticals, city locations, investor syndicates, investment types (Seed, Series A, Private Equity), and deal amounts.</w:t>
      </w:r>
    </w:p>
    <w:p>
      <w:pPr>
        <w:keepNext/>
        <w:spacing w:before="280" w:after="120"/>
      </w:pPr>
      <w:r>
        <w:rPr>
          <w:rFonts w:ascii="Calibri" w:hAnsi="Calibri"/>
          <w:b/>
          <w:color w:val="1E3A8A"/>
          <w:sz w:val="26"/>
        </w:rPr>
        <w:t>Step 2: Cleaning and Preparing the Data</w:t>
      </w:r>
    </w:p>
    <w:p>
      <w:pPr>
        <w:spacing w:before="0" w:after="120" w:line="276" w:lineRule="auto"/>
      </w:pPr>
      <w:r>
        <w:rPr>
          <w:rFonts w:ascii="Calibri" w:hAnsi="Calibri"/>
          <w:i w:val="0"/>
          <w:color w:val="1E293B"/>
          <w:sz w:val="22"/>
        </w:rPr>
        <w:t>Real-world data is inherently messy—filled with spelling mistakes, duplicate company entries, and mixed currency formats. Before any analysis could be done, we carried out five essential data cleaning steps:</w:t>
      </w:r>
    </w:p>
    <w:p>
      <w:pPr>
        <w:pStyle w:val="ListBullet"/>
        <w:spacing w:before="0" w:after="80" w:line="276" w:lineRule="auto"/>
      </w:pPr>
      <w:r>
        <w:rPr>
          <w:rFonts w:ascii="Calibri" w:hAnsi="Calibri"/>
          <w:b/>
          <w:color w:val="1E293B"/>
          <w:sz w:val="22"/>
        </w:rPr>
        <w:t xml:space="preserve">1. Standardizing Startup Names: </w:t>
      </w:r>
      <w:r>
        <w:rPr>
          <w:rFonts w:ascii="Calibri" w:hAnsi="Calibri"/>
          <w:color w:val="1E293B"/>
          <w:sz w:val="22"/>
        </w:rPr>
        <w:t xml:space="preserve"> Startups were often entered with slight spelling variations across different funding rounds (for example, "Ola Cabs" vs. "Ola", "Paytm Marketplace" vs. "Paytm", or "BYJU'S" vs. "Byju's"). We applied text-cleaning rules and automated name standardization so all funding events for the same company were grouped together.</w:t>
      </w:r>
    </w:p>
    <w:p>
      <w:pPr>
        <w:pStyle w:val="ListBullet"/>
        <w:spacing w:before="0" w:after="80" w:line="276" w:lineRule="auto"/>
      </w:pPr>
      <w:r>
        <w:rPr>
          <w:rFonts w:ascii="Calibri" w:hAnsi="Calibri"/>
          <w:b/>
          <w:color w:val="1E293B"/>
          <w:sz w:val="22"/>
        </w:rPr>
        <w:t xml:space="preserve">2. Converting Cheques to US Dollars: </w:t>
      </w:r>
      <w:r>
        <w:rPr>
          <w:rFonts w:ascii="Calibri" w:hAnsi="Calibri"/>
          <w:color w:val="1E293B"/>
          <w:sz w:val="22"/>
        </w:rPr>
        <w:t xml:space="preserve"> Deal values in raw records were often written in Indian numbering formats (such as Crores or Lakhs) with commas, symbols, or unrecorded values. We converted all disclosed values into standardized US Dollars (USD) to make all transactions directly comparable.</w:t>
      </w:r>
    </w:p>
    <w:p>
      <w:pPr>
        <w:pStyle w:val="ListBullet"/>
        <w:spacing w:before="0" w:after="80" w:line="276" w:lineRule="auto"/>
      </w:pPr>
      <w:r>
        <w:rPr>
          <w:rFonts w:ascii="Calibri" w:hAnsi="Calibri"/>
          <w:b/>
          <w:color w:val="1E293B"/>
          <w:sz w:val="22"/>
        </w:rPr>
        <w:t xml:space="preserve">3. Grouping Messy Industries: </w:t>
      </w:r>
      <w:r>
        <w:rPr>
          <w:rFonts w:ascii="Calibri" w:hAnsi="Calibri"/>
          <w:color w:val="1E293B"/>
          <w:sz w:val="22"/>
        </w:rPr>
        <w:t xml:space="preserve"> Raw records contained hundreds of granular, overlapping tags. We consolidated these into 8 broad, recognizable sectors: E-Commerce, FinTech, EdTech, Healthcare, Logistics &amp; Supply Chain, Enterprise Tech / SaaS, Consumer Services, and AgriTech.</w:t>
      </w:r>
    </w:p>
    <w:p>
      <w:pPr>
        <w:pStyle w:val="ListBullet"/>
        <w:spacing w:before="0" w:after="80" w:line="276" w:lineRule="auto"/>
      </w:pPr>
      <w:r>
        <w:rPr>
          <w:rFonts w:ascii="Calibri" w:hAnsi="Calibri"/>
          <w:b/>
          <w:color w:val="1E293B"/>
          <w:sz w:val="22"/>
        </w:rPr>
        <w:t xml:space="preserve">4. Organizing Geographic Hubs: </w:t>
      </w:r>
      <w:r>
        <w:rPr>
          <w:rFonts w:ascii="Calibri" w:hAnsi="Calibri"/>
          <w:color w:val="1E293B"/>
          <w:sz w:val="22"/>
        </w:rPr>
        <w:t xml:space="preserve"> We mapped over 50 cities into the primary tech hubs anchoring Indian venture capital: Bengaluru, Delhi-NCR (Gurgaon, Noida, New Delhi), Mumbai, Pune, Hyderabad, and Chennai, with remaining cities grouped as "Tier-2 / Emerging Hubs".</w:t>
      </w:r>
    </w:p>
    <w:p>
      <w:pPr>
        <w:pStyle w:val="ListBullet"/>
        <w:spacing w:before="0" w:after="80" w:line="276" w:lineRule="auto"/>
      </w:pPr>
      <w:r>
        <w:rPr>
          <w:rFonts w:ascii="Calibri" w:hAnsi="Calibri"/>
          <w:b/>
          <w:color w:val="1E293B"/>
          <w:sz w:val="22"/>
        </w:rPr>
        <w:t xml:space="preserve">5. Standardizing Funding Stages: </w:t>
      </w:r>
      <w:r>
        <w:rPr>
          <w:rFonts w:ascii="Calibri" w:hAnsi="Calibri"/>
          <w:color w:val="1E293B"/>
          <w:sz w:val="22"/>
        </w:rPr>
        <w:t xml:space="preserve"> Round descriptions (like "Private Equity", "Seed Round", "Series B", "Pre-Series A") were consolidated into clear venture capital stages: Seed / Angel, Early Stage (Series A &amp; B), and Late / Growth Stage.</w:t>
      </w:r>
    </w:p>
    <w:p>
      <w:pPr>
        <w:keepNext/>
        <w:spacing w:before="280" w:after="120"/>
      </w:pPr>
      <w:r>
        <w:rPr>
          <w:rFonts w:ascii="Calibri" w:hAnsi="Calibri"/>
          <w:b/>
          <w:color w:val="1E3A8A"/>
          <w:sz w:val="26"/>
        </w:rPr>
        <w:t>Step 3: Building the Startup Connection Network</w:t>
      </w:r>
    </w:p>
    <w:p>
      <w:pPr>
        <w:spacing w:before="0" w:after="120" w:line="276" w:lineRule="auto"/>
      </w:pPr>
      <w:r>
        <w:rPr>
          <w:rFonts w:ascii="Calibri" w:hAnsi="Calibri"/>
          <w:i w:val="0"/>
          <w:color w:val="1E293B"/>
          <w:sz w:val="22"/>
        </w:rPr>
        <w:t>In the venture ecosystem, value flows through relationships. We represented this ecosystem as an interactive web connecting three groups: Founders, Startups, and Investors.</w:t>
      </w:r>
    </w:p>
    <w:p>
      <w:pPr>
        <w:spacing w:before="0" w:after="120" w:line="276" w:lineRule="auto"/>
      </w:pPr>
      <w:r>
        <w:rPr>
          <w:rFonts w:ascii="Calibri" w:hAnsi="Calibri"/>
          <w:i w:val="0"/>
          <w:color w:val="1E293B"/>
          <w:sz w:val="22"/>
        </w:rPr>
        <w:t>In this web, a founder connects to the startup they created, and an investor connects to the startup they funded. Through shared startups, investors connect to other investors (forming co-investment syndicates), and founders connect to investors.</w:t>
      </w:r>
    </w:p>
    <w:p>
      <w:pPr>
        <w:spacing w:before="0" w:after="120" w:line="276" w:lineRule="auto"/>
      </w:pPr>
      <w:r>
        <w:rPr>
          <w:rFonts w:ascii="Calibri" w:hAnsi="Calibri"/>
          <w:i w:val="0"/>
          <w:color w:val="1E293B"/>
          <w:sz w:val="22"/>
        </w:rPr>
        <w:t>Instead of relying on gut feelings to decide which investors are "influential," we calculated four objective scores for every player in the network:</w:t>
      </w:r>
    </w:p>
    <w:p>
      <w:pPr>
        <w:pStyle w:val="ListBullet"/>
        <w:spacing w:before="0" w:after="80" w:line="276" w:lineRule="auto"/>
      </w:pPr>
      <w:r>
        <w:rPr>
          <w:rFonts w:ascii="Calibri" w:hAnsi="Calibri"/>
          <w:b/>
          <w:color w:val="1E293B"/>
          <w:sz w:val="22"/>
        </w:rPr>
        <w:t xml:space="preserve">• Activity Score (Degree): </w:t>
      </w:r>
      <w:r>
        <w:rPr>
          <w:rFonts w:ascii="Calibri" w:hAnsi="Calibri"/>
          <w:color w:val="1E293B"/>
          <w:sz w:val="22"/>
        </w:rPr>
        <w:t xml:space="preserve"> This simply counts how many deals an investor participated in or how many investors backed a startup. An investor with 50 deals has a higher activity score than one with 2 deals.</w:t>
      </w:r>
    </w:p>
    <w:p>
      <w:pPr>
        <w:pStyle w:val="ListBullet"/>
        <w:spacing w:before="0" w:after="80" w:line="276" w:lineRule="auto"/>
      </w:pPr>
      <w:r>
        <w:rPr>
          <w:rFonts w:ascii="Calibri" w:hAnsi="Calibri"/>
          <w:b/>
          <w:color w:val="1E293B"/>
          <w:sz w:val="22"/>
        </w:rPr>
        <w:t xml:space="preserve">• Bridge Score (Betweenness): </w:t>
      </w:r>
      <w:r>
        <w:rPr>
          <w:rFonts w:ascii="Calibri" w:hAnsi="Calibri"/>
          <w:color w:val="1E293B"/>
          <w:sz w:val="22"/>
        </w:rPr>
        <w:t xml:space="preserve"> This measures how often an investor sits on the shortest path connecting different startup clusters. Investors with high bridge scores act as essential connectors between different industries or cities.</w:t>
      </w:r>
    </w:p>
    <w:p>
      <w:pPr>
        <w:pStyle w:val="ListBullet"/>
        <w:spacing w:before="0" w:after="80" w:line="276" w:lineRule="auto"/>
      </w:pPr>
      <w:r>
        <w:rPr>
          <w:rFonts w:ascii="Calibri" w:hAnsi="Calibri"/>
          <w:b/>
          <w:color w:val="1E293B"/>
          <w:sz w:val="22"/>
        </w:rPr>
        <w:t xml:space="preserve">• Elite Association Score (Eigenvector): </w:t>
      </w:r>
      <w:r>
        <w:rPr>
          <w:rFonts w:ascii="Calibri" w:hAnsi="Calibri"/>
          <w:color w:val="1E293B"/>
          <w:sz w:val="22"/>
        </w:rPr>
        <w:t xml:space="preserve"> This measures how connected an investor is to other powerful players. It answers: "Are you connected to the elite crowd?"</w:t>
      </w:r>
    </w:p>
    <w:p>
      <w:pPr>
        <w:pStyle w:val="ListBullet"/>
        <w:spacing w:before="0" w:after="80" w:line="276" w:lineRule="auto"/>
      </w:pPr>
      <w:r>
        <w:rPr>
          <w:rFonts w:ascii="Calibri" w:hAnsi="Calibri"/>
          <w:b/>
          <w:color w:val="1E293B"/>
          <w:sz w:val="22"/>
        </w:rPr>
        <w:t xml:space="preserve">• Reputation &amp; Influence Score (PageRank): </w:t>
      </w:r>
      <w:r>
        <w:rPr>
          <w:rFonts w:ascii="Calibri" w:hAnsi="Calibri"/>
          <w:color w:val="1E293B"/>
          <w:sz w:val="22"/>
        </w:rPr>
        <w:t xml:space="preserve"> Inspired by Google's search algorithm that ranks the most authoritative websites, PageRank measures reputation through recursive trust. If top-tier funds like Tiger Global, Sequoia Capital, or Accel invest in a company alongside other funds, prestige flows across that connection. This score captures an investor's true market reputation without getting distorted by one-off deals.</w:t>
      </w:r>
    </w:p>
    <w:p>
      <w:pPr>
        <w:spacing w:before="0" w:after="120" w:line="276" w:lineRule="auto"/>
      </w:pPr>
      <w:r>
        <w:rPr>
          <w:rFonts w:ascii="Calibri" w:hAnsi="Calibri"/>
          <w:i w:val="0"/>
          <w:color w:val="1E293B"/>
          <w:sz w:val="22"/>
        </w:rPr>
        <w:t>We also measured market concentration using economic indices (Gini coefficient). We discovered that venture capital in India is heavily concentrated: the top 5% of investors account for nearly a quarter of all deal flow, confirming that a small group of marquee funds acts as primary market gatekeepers.</w:t>
      </w:r>
    </w:p>
    <w:p>
      <w:pPr>
        <w:keepNext/>
        <w:spacing w:before="280" w:after="120"/>
      </w:pPr>
      <w:r>
        <w:rPr>
          <w:rFonts w:ascii="Calibri" w:hAnsi="Calibri"/>
          <w:b/>
          <w:color w:val="1E3A8A"/>
          <w:sz w:val="26"/>
        </w:rPr>
        <w:t>Step 4: Tracking Startup Growth History (Feature Engineering)</w:t>
      </w:r>
    </w:p>
    <w:p>
      <w:pPr>
        <w:spacing w:before="0" w:after="120" w:line="276" w:lineRule="auto"/>
      </w:pPr>
      <w:r>
        <w:rPr>
          <w:rFonts w:ascii="Calibri" w:hAnsi="Calibri"/>
          <w:i w:val="0"/>
          <w:color w:val="1E293B"/>
          <w:sz w:val="22"/>
        </w:rPr>
        <w:t>A startup's next funding round depends heavily on what happened before. To give our predictive algorithms a complete picture, we reconstructed each startup's historical track record across time, calculating six key operational features for every transaction:</w:t>
      </w:r>
    </w:p>
    <w:p>
      <w:pPr>
        <w:pStyle w:val="ListBullet"/>
        <w:spacing w:before="0" w:after="80" w:line="276" w:lineRule="auto"/>
      </w:pPr>
      <w:r>
        <w:rPr>
          <w:rFonts w:ascii="Calibri" w:hAnsi="Calibri"/>
          <w:b/>
          <w:color w:val="1E293B"/>
          <w:sz w:val="22"/>
        </w:rPr>
        <w:t xml:space="preserve">1. Total Past Funding: </w:t>
      </w:r>
      <w:r>
        <w:rPr>
          <w:rFonts w:ascii="Calibri" w:hAnsi="Calibri"/>
          <w:color w:val="1E293B"/>
          <w:sz w:val="22"/>
        </w:rPr>
        <w:t xml:space="preserve"> The total sum of money the startup had successfully raised prior to the current deal.</w:t>
      </w:r>
    </w:p>
    <w:p>
      <w:pPr>
        <w:pStyle w:val="ListBullet"/>
        <w:spacing w:before="0" w:after="80" w:line="276" w:lineRule="auto"/>
      </w:pPr>
      <w:r>
        <w:rPr>
          <w:rFonts w:ascii="Calibri" w:hAnsi="Calibri"/>
          <w:b/>
          <w:color w:val="1E293B"/>
          <w:sz w:val="22"/>
        </w:rPr>
        <w:t xml:space="preserve">2. Previous Cheque Size: </w:t>
      </w:r>
      <w:r>
        <w:rPr>
          <w:rFonts w:ascii="Calibri" w:hAnsi="Calibri"/>
          <w:color w:val="1E293B"/>
          <w:sz w:val="22"/>
        </w:rPr>
        <w:t xml:space="preserve"> The dollar amount raised in the startup's immediately preceding round.</w:t>
      </w:r>
    </w:p>
    <w:p>
      <w:pPr>
        <w:pStyle w:val="ListBullet"/>
        <w:spacing w:before="0" w:after="80" w:line="276" w:lineRule="auto"/>
      </w:pPr>
      <w:r>
        <w:rPr>
          <w:rFonts w:ascii="Calibri" w:hAnsi="Calibri"/>
          <w:b/>
          <w:color w:val="1E293B"/>
          <w:sz w:val="22"/>
        </w:rPr>
        <w:t xml:space="preserve">3. Completed Round Count: </w:t>
      </w:r>
      <w:r>
        <w:rPr>
          <w:rFonts w:ascii="Calibri" w:hAnsi="Calibri"/>
          <w:color w:val="1E293B"/>
          <w:sz w:val="22"/>
        </w:rPr>
        <w:t xml:space="preserve"> The number of completed rounds prior to this deal (e.g., first round vs. third round).</w:t>
      </w:r>
    </w:p>
    <w:p>
      <w:pPr>
        <w:pStyle w:val="ListBullet"/>
        <w:spacing w:before="0" w:after="80" w:line="276" w:lineRule="auto"/>
      </w:pPr>
      <w:r>
        <w:rPr>
          <w:rFonts w:ascii="Calibri" w:hAnsi="Calibri"/>
          <w:b/>
          <w:color w:val="1E293B"/>
          <w:sz w:val="22"/>
        </w:rPr>
        <w:t xml:space="preserve">4. Days Since Last Round: </w:t>
      </w:r>
      <w:r>
        <w:rPr>
          <w:rFonts w:ascii="Calibri" w:hAnsi="Calibri"/>
          <w:color w:val="1E293B"/>
          <w:sz w:val="22"/>
        </w:rPr>
        <w:t xml:space="preserve"> The exact number of calendar days elapsed since the startup last raised capital, reflecting cash runway and momentum.</w:t>
      </w:r>
    </w:p>
    <w:p>
      <w:pPr>
        <w:pStyle w:val="ListBullet"/>
        <w:spacing w:before="0" w:after="80" w:line="276" w:lineRule="auto"/>
      </w:pPr>
      <w:r>
        <w:rPr>
          <w:rFonts w:ascii="Calibri" w:hAnsi="Calibri"/>
          <w:b/>
          <w:color w:val="1E293B"/>
          <w:sz w:val="22"/>
        </w:rPr>
        <w:t xml:space="preserve">5. Operational Age: </w:t>
      </w:r>
      <w:r>
        <w:rPr>
          <w:rFonts w:ascii="Calibri" w:hAnsi="Calibri"/>
          <w:color w:val="1E293B"/>
          <w:sz w:val="22"/>
        </w:rPr>
        <w:t xml:space="preserve"> The time elapsed between the startup's founding date and the transaction date.</w:t>
      </w:r>
    </w:p>
    <w:p>
      <w:pPr>
        <w:pStyle w:val="ListBullet"/>
        <w:spacing w:before="0" w:after="80" w:line="276" w:lineRule="auto"/>
      </w:pPr>
      <w:r>
        <w:rPr>
          <w:rFonts w:ascii="Calibri" w:hAnsi="Calibri"/>
          <w:b/>
          <w:color w:val="1E293B"/>
          <w:sz w:val="22"/>
        </w:rPr>
        <w:t xml:space="preserve">6. Founder Team Size: </w:t>
      </w:r>
      <w:r>
        <w:rPr>
          <w:rFonts w:ascii="Calibri" w:hAnsi="Calibri"/>
          <w:color w:val="1E293B"/>
          <w:sz w:val="22"/>
        </w:rPr>
        <w:t xml:space="preserve"> The number of registered co-founders leading the venture.</w:t>
      </w:r>
    </w:p>
    <w:p>
      <w:pPr>
        <w:keepNext/>
        <w:spacing w:before="280" w:after="120"/>
      </w:pPr>
      <w:r>
        <w:rPr>
          <w:rFonts w:ascii="Calibri" w:hAnsi="Calibri"/>
          <w:b/>
          <w:color w:val="1E3A8A"/>
          <w:sz w:val="26"/>
        </w:rPr>
        <w:t>Step 5: The Network Bridge (Transferring Reputation into Predictions)</w:t>
      </w:r>
    </w:p>
    <w:p>
      <w:pPr>
        <w:spacing w:before="0" w:after="120" w:line="276" w:lineRule="auto"/>
      </w:pPr>
      <w:r>
        <w:rPr>
          <w:rFonts w:ascii="Calibri" w:hAnsi="Calibri"/>
          <w:i w:val="0"/>
          <w:color w:val="1E293B"/>
          <w:sz w:val="22"/>
        </w:rPr>
        <w:t>This step represents the central innovation of our methodology. Rather than keeping the network analysis separate from the predictive models, we built a "Network Bridge."</w:t>
      </w:r>
    </w:p>
    <w:p>
      <w:pPr>
        <w:spacing w:before="0" w:after="120" w:line="276" w:lineRule="auto"/>
      </w:pPr>
      <w:r>
        <w:rPr>
          <w:rFonts w:ascii="Calibri" w:hAnsi="Calibri"/>
          <w:i w:val="0"/>
          <w:color w:val="1E293B"/>
          <w:sz w:val="22"/>
        </w:rPr>
        <w:t>For every funding transaction in our database, we looked up the lead investor who funded the deal and retrieved their network scores calculated in Step 3 (their Activity Score, Bridge Score, and PageRank Reputation Score). We also calculated the average reputation score of the entire syndicate of participating investors.</w:t>
      </w:r>
    </w:p>
    <w:p>
      <w:pPr>
        <w:spacing w:before="0" w:after="120" w:line="276" w:lineRule="auto"/>
      </w:pPr>
      <w:r>
        <w:rPr>
          <w:rFonts w:ascii="Calibri" w:hAnsi="Calibri"/>
          <w:i w:val="0"/>
          <w:color w:val="1E293B"/>
          <w:sz w:val="22"/>
        </w:rPr>
        <w:t>By attaching these network scores directly to each startup's profile, we created an enriched dataset. This enabled our models to answer a critical real-world question: "Even if two startups are the exact same age, in the same sector, and have raised the same prior capital, does the startup backed by a higher-prestige investor raise significantly larger cheques and survive longer?"</w:t>
      </w:r>
    </w:p>
    <w:p>
      <w:pPr>
        <w:keepNext/>
        <w:spacing w:before="280" w:after="120"/>
      </w:pPr>
      <w:r>
        <w:rPr>
          <w:rFonts w:ascii="Calibri" w:hAnsi="Calibri"/>
          <w:b/>
          <w:color w:val="1E3A8A"/>
          <w:sz w:val="26"/>
        </w:rPr>
        <w:t>Step 6: Training Predictive Machine Learning Models</w:t>
      </w:r>
    </w:p>
    <w:p>
      <w:pPr>
        <w:spacing w:before="0" w:after="120" w:line="276" w:lineRule="auto"/>
      </w:pPr>
      <w:r>
        <w:rPr>
          <w:rFonts w:ascii="Calibri" w:hAnsi="Calibri"/>
          <w:i w:val="0"/>
          <w:color w:val="1E293B"/>
          <w:sz w:val="22"/>
        </w:rPr>
        <w:t>With our engineered data ready, we formulated two distinct prediction tasks to simulate how investors, founders, and analysts evaluate startups in the real world:</w:t>
      </w:r>
    </w:p>
    <w:p>
      <w:pPr>
        <w:keepNext/>
        <w:spacing w:before="280" w:after="120"/>
      </w:pPr>
      <w:r>
        <w:rPr>
          <w:rFonts w:ascii="Calibri" w:hAnsi="Calibri"/>
          <w:b/>
          <w:color w:val="0284C7"/>
          <w:sz w:val="24"/>
        </w:rPr>
        <w:t>Task A: Predicting Funding Cheque Size (How Much Will It Raise?)</w:t>
      </w:r>
    </w:p>
    <w:p>
      <w:pPr>
        <w:spacing w:before="0" w:after="120" w:line="276" w:lineRule="auto"/>
      </w:pPr>
      <w:r>
        <w:rPr>
          <w:rFonts w:ascii="Calibri" w:hAnsi="Calibri"/>
          <w:i w:val="0"/>
          <w:color w:val="1E293B"/>
          <w:sz w:val="22"/>
        </w:rPr>
        <w:t>Here, the goal is to predict the continuous dollar amount a startup will raise in an upcoming round. Because startup investments range from small angel cheques (5,000) to massive mega-rounds (00M+), raw dollar values are heavily skewed. We applied a logarithmic transformation to funding amounts, which scales values proportionally and prevents a single giant deal from distorting predictions.</w:t>
      </w:r>
    </w:p>
    <w:p>
      <w:pPr>
        <w:spacing w:before="0" w:after="120" w:line="276" w:lineRule="auto"/>
      </w:pPr>
      <w:r>
        <w:rPr>
          <w:rFonts w:ascii="Calibri" w:hAnsi="Calibri"/>
          <w:i w:val="0"/>
          <w:color w:val="1E293B"/>
          <w:sz w:val="22"/>
        </w:rPr>
        <w:t>We benchmarked multiple predictive algorithms:</w:t>
      </w:r>
    </w:p>
    <w:p>
      <w:pPr>
        <w:pStyle w:val="ListBullet"/>
        <w:spacing w:before="0" w:after="80" w:line="276" w:lineRule="auto"/>
      </w:pPr>
      <w:r>
        <w:rPr>
          <w:rFonts w:ascii="Calibri" w:hAnsi="Calibri"/>
          <w:b/>
          <w:color w:val="1E293B"/>
          <w:sz w:val="22"/>
        </w:rPr>
        <w:t xml:space="preserve">• Linear Regularized Regressions (OLS, Ridge, Lasso, ElasticNet): </w:t>
      </w:r>
      <w:r>
        <w:rPr>
          <w:rFonts w:ascii="Calibri" w:hAnsi="Calibri"/>
          <w:color w:val="1E293B"/>
          <w:sz w:val="22"/>
        </w:rPr>
        <w:t xml:space="preserve"> Established baseline models that explain linear relationships between company features and funding size in easy-to-interpret percentage terms.</w:t>
      </w:r>
    </w:p>
    <w:p>
      <w:pPr>
        <w:pStyle w:val="ListBullet"/>
        <w:spacing w:before="0" w:after="80" w:line="276" w:lineRule="auto"/>
      </w:pPr>
      <w:r>
        <w:rPr>
          <w:rFonts w:ascii="Calibri" w:hAnsi="Calibri"/>
          <w:b/>
          <w:color w:val="1E293B"/>
          <w:sz w:val="22"/>
        </w:rPr>
        <w:t xml:space="preserve">• Random Forest Regressor: </w:t>
      </w:r>
      <w:r>
        <w:rPr>
          <w:rFonts w:ascii="Calibri" w:hAnsi="Calibri"/>
          <w:color w:val="1E293B"/>
          <w:sz w:val="22"/>
        </w:rPr>
        <w:t xml:space="preserve"> Combines hundreds of independent decision trees ("flowcharts") to capture non-linear relationships and interactions without overfitting.</w:t>
      </w:r>
    </w:p>
    <w:p>
      <w:pPr>
        <w:pStyle w:val="ListBullet"/>
        <w:spacing w:before="0" w:after="80" w:line="276" w:lineRule="auto"/>
      </w:pPr>
      <w:r>
        <w:rPr>
          <w:rFonts w:ascii="Calibri" w:hAnsi="Calibri"/>
          <w:b/>
          <w:color w:val="1E293B"/>
          <w:sz w:val="22"/>
        </w:rPr>
        <w:t xml:space="preserve">• XGBoost Regressor (Gradient Boosted Trees): </w:t>
      </w:r>
      <w:r>
        <w:rPr>
          <w:rFonts w:ascii="Calibri" w:hAnsi="Calibri"/>
          <w:color w:val="1E293B"/>
          <w:sz w:val="22"/>
        </w:rPr>
        <w:t xml:space="preserve"> An advanced ensemble algorithm that builds decision trees sequentially, with each new tree correcting the errors of prior trees. This proved to be our most powerful continuous predictor.</w:t>
      </w:r>
    </w:p>
    <w:p>
      <w:pPr>
        <w:keepNext/>
        <w:spacing w:before="280" w:after="120"/>
      </w:pPr>
      <w:r>
        <w:rPr>
          <w:rFonts w:ascii="Calibri" w:hAnsi="Calibri"/>
          <w:b/>
          <w:color w:val="0284C7"/>
          <w:sz w:val="24"/>
        </w:rPr>
        <w:t>Task B: Predicting Startup Survival &amp; Follow-On Graduation (Will It Raise Again?)</w:t>
      </w:r>
    </w:p>
    <w:p>
      <w:pPr>
        <w:spacing w:before="0" w:after="120" w:line="276" w:lineRule="auto"/>
      </w:pPr>
      <w:r>
        <w:rPr>
          <w:rFonts w:ascii="Calibri" w:hAnsi="Calibri"/>
          <w:i w:val="0"/>
          <w:color w:val="1E293B"/>
          <w:sz w:val="22"/>
        </w:rPr>
        <w:t>Here, the goal is binary classification: determining whether a startup will successfully progress to raise follow-on funding rounds, or whether it will stall as a single-round company.</w:t>
      </w:r>
    </w:p>
    <w:p>
      <w:pPr>
        <w:spacing w:before="0" w:after="120" w:line="276" w:lineRule="auto"/>
      </w:pPr>
      <w:r>
        <w:rPr>
          <w:rFonts w:ascii="Calibri" w:hAnsi="Calibri"/>
          <w:i w:val="0"/>
          <w:color w:val="1E293B"/>
          <w:sz w:val="22"/>
        </w:rPr>
        <w:t>We trained and compared three classifiers: Logistic Regression (with L2 penalty), Random Forest Classifier, and XGBoost Classifier, evaluating their ability to correctly identify breakout startups.</w:t>
      </w:r>
    </w:p>
    <w:p>
      <w:pPr>
        <w:keepNext/>
        <w:spacing w:before="280" w:after="120"/>
      </w:pPr>
      <w:r>
        <w:rPr>
          <w:rFonts w:ascii="Calibri" w:hAnsi="Calibri"/>
          <w:b/>
          <w:color w:val="1E3A8A"/>
          <w:sz w:val="26"/>
        </w:rPr>
        <w:t>Step 7: Testing the Models on Unseen Data &amp; The Ablation Test</w:t>
      </w:r>
    </w:p>
    <w:p>
      <w:pPr>
        <w:spacing w:before="0" w:after="120" w:line="276" w:lineRule="auto"/>
      </w:pPr>
      <w:r>
        <w:rPr>
          <w:rFonts w:ascii="Calibri" w:hAnsi="Calibri"/>
          <w:i w:val="0"/>
          <w:color w:val="1E293B"/>
          <w:sz w:val="22"/>
        </w:rPr>
        <w:t>To ensure our models were genuine predictors rather than just memorizing past data, we followed strict scientific validation practices:</w:t>
      </w:r>
    </w:p>
    <w:p>
      <w:pPr>
        <w:pStyle w:val="ListBullet"/>
        <w:spacing w:before="0" w:after="80" w:line="276" w:lineRule="auto"/>
      </w:pPr>
      <w:r>
        <w:rPr>
          <w:rFonts w:ascii="Calibri" w:hAnsi="Calibri"/>
          <w:b/>
          <w:color w:val="1E293B"/>
          <w:sz w:val="22"/>
        </w:rPr>
        <w:t xml:space="preserve">1. Fair Train / Test Split: </w:t>
      </w:r>
      <w:r>
        <w:rPr>
          <w:rFonts w:ascii="Calibri" w:hAnsi="Calibri"/>
          <w:color w:val="1E293B"/>
          <w:sz w:val="22"/>
        </w:rPr>
        <w:t xml:space="preserve"> We split our data into 80% for training the models and 20% strictly reserved as unseen testing data. Performance was measured only on this unseen test data.</w:t>
      </w:r>
    </w:p>
    <w:p>
      <w:pPr>
        <w:pStyle w:val="ListBullet"/>
        <w:spacing w:before="0" w:after="80" w:line="276" w:lineRule="auto"/>
      </w:pPr>
      <w:r>
        <w:rPr>
          <w:rFonts w:ascii="Calibri" w:hAnsi="Calibri"/>
          <w:b/>
          <w:color w:val="1E293B"/>
          <w:sz w:val="22"/>
        </w:rPr>
        <w:t xml:space="preserve">2. Clear Evaluation Metrics: </w:t>
      </w:r>
      <w:r>
        <w:rPr>
          <w:rFonts w:ascii="Calibri" w:hAnsi="Calibri"/>
          <w:color w:val="1E293B"/>
          <w:sz w:val="22"/>
        </w:rPr>
        <w:t xml:space="preserve"> We evaluated amount predictions using R-squared (R², the percentage of funding variation explained by the model) and Root Mean Squared Error (RMSE). We evaluated graduation predictions using ROC-AUC (ability to distinguish graduating startups from stalled ones), Accuracy, Precision, and Recall.</w:t>
      </w:r>
    </w:p>
    <w:p>
      <w:pPr>
        <w:pStyle w:val="ListBullet"/>
        <w:spacing w:before="0" w:after="80" w:line="276" w:lineRule="auto"/>
      </w:pPr>
      <w:r>
        <w:rPr>
          <w:rFonts w:ascii="Calibri" w:hAnsi="Calibri"/>
          <w:b/>
          <w:color w:val="1E293B"/>
          <w:sz w:val="22"/>
        </w:rPr>
        <w:t xml:space="preserve">3. The Network Ablation Test: </w:t>
      </w:r>
      <w:r>
        <w:rPr>
          <w:rFonts w:ascii="Calibri" w:hAnsi="Calibri"/>
          <w:color w:val="1E293B"/>
          <w:sz w:val="22"/>
        </w:rPr>
        <w:t xml:space="preserve"> To rigorously prove whether investor network scores actually matter, we conducted an "Ablation Test." We trained every model twice: first using only company operational metrics (age, sector, city, past funding), and second including the investor network reputation scores.</w:t>
      </w:r>
    </w:p>
    <w:p>
      <w:pPr>
        <w:keepNext/>
        <w:spacing w:before="280" w:after="120"/>
      </w:pPr>
      <w:r>
        <w:rPr>
          <w:rFonts w:ascii="Calibri" w:hAnsi="Calibri"/>
          <w:b/>
          <w:color w:val="0284C7"/>
          <w:sz w:val="24"/>
        </w:rPr>
        <w:t>Model Benchmark Performance Summary</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728"/>
            <w:vAlign w:val="center"/>
            <w:shd w:fill="1E3A8A"/>
          </w:tcPr>
          <w:p>
            <w:pPr>
              <w:spacing w:before="60" w:after="60" w:line="276" w:lineRule="auto"/>
            </w:pPr>
            <w:r>
              <w:rPr>
                <w:rFonts w:ascii="Calibri" w:hAnsi="Calibri"/>
                <w:b/>
                <w:color w:val="FFFFFF"/>
                <w:sz w:val="19"/>
              </w:rPr>
              <w:t>Algorithm</w:t>
            </w:r>
          </w:p>
        </w:tc>
        <w:tc>
          <w:tcPr>
            <w:tcW w:type="dxa" w:w="1152"/>
            <w:vAlign w:val="center"/>
            <w:shd w:fill="1E3A8A"/>
          </w:tcPr>
          <w:p>
            <w:pPr>
              <w:spacing w:before="60" w:after="60" w:line="276" w:lineRule="auto"/>
            </w:pPr>
            <w:r>
              <w:rPr>
                <w:rFonts w:ascii="Calibri" w:hAnsi="Calibri"/>
                <w:b/>
                <w:color w:val="FFFFFF"/>
                <w:sz w:val="19"/>
              </w:rPr>
              <w:t>Task</w:t>
            </w:r>
          </w:p>
        </w:tc>
        <w:tc>
          <w:tcPr>
            <w:tcW w:type="dxa" w:w="1584"/>
            <w:vAlign w:val="center"/>
            <w:shd w:fill="1E3A8A"/>
          </w:tcPr>
          <w:p>
            <w:pPr>
              <w:spacing w:before="60" w:after="60" w:line="276" w:lineRule="auto"/>
            </w:pPr>
            <w:r>
              <w:rPr>
                <w:rFonts w:ascii="Calibri" w:hAnsi="Calibri"/>
                <w:b/>
                <w:color w:val="FFFFFF"/>
                <w:sz w:val="19"/>
              </w:rPr>
              <w:t>Baseline Score (No Network)</w:t>
            </w:r>
          </w:p>
        </w:tc>
        <w:tc>
          <w:tcPr>
            <w:tcW w:type="dxa" w:w="1584"/>
            <w:vAlign w:val="center"/>
            <w:shd w:fill="1E3A8A"/>
          </w:tcPr>
          <w:p>
            <w:pPr>
              <w:spacing w:before="60" w:after="60" w:line="276" w:lineRule="auto"/>
            </w:pPr>
            <w:r>
              <w:rPr>
                <w:rFonts w:ascii="Calibri" w:hAnsi="Calibri"/>
                <w:b/>
                <w:color w:val="FFFFFF"/>
                <w:sz w:val="19"/>
              </w:rPr>
              <w:t>Full Score (+Network)</w:t>
            </w:r>
          </w:p>
        </w:tc>
        <w:tc>
          <w:tcPr>
            <w:tcW w:type="dxa" w:w="1152"/>
            <w:vAlign w:val="center"/>
            <w:shd w:fill="1E3A8A"/>
          </w:tcPr>
          <w:p>
            <w:pPr>
              <w:spacing w:before="60" w:after="60" w:line="276" w:lineRule="auto"/>
            </w:pPr>
            <w:r>
              <w:rPr>
                <w:rFonts w:ascii="Calibri" w:hAnsi="Calibri"/>
                <w:b/>
                <w:color w:val="FFFFFF"/>
                <w:sz w:val="19"/>
              </w:rPr>
              <w:t>Net Gain</w:t>
            </w:r>
          </w:p>
        </w:tc>
        <w:tc>
          <w:tcPr>
            <w:tcW w:type="dxa" w:w="2592"/>
            <w:vAlign w:val="center"/>
            <w:shd w:fill="1E3A8A"/>
          </w:tcPr>
          <w:p>
            <w:pPr>
              <w:spacing w:before="60" w:after="60" w:line="276" w:lineRule="auto"/>
            </w:pPr>
            <w:r>
              <w:rPr>
                <w:rFonts w:ascii="Calibri" w:hAnsi="Calibri"/>
                <w:b/>
                <w:color w:val="FFFFFF"/>
                <w:sz w:val="19"/>
              </w:rPr>
              <w:t>Plain-Language Takeaway</w:t>
            </w:r>
          </w:p>
        </w:tc>
      </w:tr>
      <w:tr>
        <w:trPr>
          <w:cantSplit/>
        </w:trPr>
        <w:tc>
          <w:tcPr>
            <w:tcW w:type="dxa" w:w="1728"/>
            <w:vAlign w:val="center"/>
            <w:shd w:fill="F8FAFC"/>
          </w:tcPr>
          <w:p>
            <w:pPr>
              <w:spacing w:before="60" w:after="60" w:line="276" w:lineRule="auto"/>
            </w:pPr>
            <w:r>
              <w:rPr>
                <w:rFonts w:ascii="Calibri" w:hAnsi="Calibri"/>
                <w:b/>
                <w:color w:val="1E293B"/>
                <w:sz w:val="17"/>
              </w:rPr>
              <w:t>XGBoost Regressor</w:t>
            </w:r>
          </w:p>
        </w:tc>
        <w:tc>
          <w:tcPr>
            <w:tcW w:type="dxa" w:w="1152"/>
            <w:vAlign w:val="center"/>
            <w:shd w:fill="F8FAFC"/>
          </w:tcPr>
          <w:p>
            <w:pPr>
              <w:spacing w:before="60" w:after="60" w:line="276" w:lineRule="auto"/>
            </w:pPr>
            <w:r>
              <w:rPr>
                <w:rFonts w:ascii="Calibri" w:hAnsi="Calibri"/>
                <w:color w:val="1E293B"/>
                <w:sz w:val="17"/>
              </w:rPr>
              <w:t>Cheque Size</w:t>
            </w:r>
          </w:p>
        </w:tc>
        <w:tc>
          <w:tcPr>
            <w:tcW w:type="dxa" w:w="1584"/>
            <w:vAlign w:val="center"/>
            <w:shd w:fill="F8FAFC"/>
          </w:tcPr>
          <w:p>
            <w:pPr>
              <w:spacing w:before="60" w:after="60" w:line="276" w:lineRule="auto"/>
            </w:pPr>
            <w:r>
              <w:rPr>
                <w:rFonts w:ascii="Calibri" w:hAnsi="Calibri"/>
                <w:color w:val="1E293B"/>
                <w:sz w:val="17"/>
              </w:rPr>
              <w:t>R² = 0.643</w:t>
            </w:r>
          </w:p>
        </w:tc>
        <w:tc>
          <w:tcPr>
            <w:tcW w:type="dxa" w:w="1584"/>
            <w:vAlign w:val="center"/>
            <w:shd w:fill="F8FAFC"/>
          </w:tcPr>
          <w:p>
            <w:pPr>
              <w:spacing w:before="60" w:after="60" w:line="276" w:lineRule="auto"/>
            </w:pPr>
            <w:r>
              <w:rPr>
                <w:rFonts w:ascii="Calibri" w:hAnsi="Calibri"/>
                <w:color w:val="1E293B"/>
                <w:sz w:val="17"/>
              </w:rPr>
              <w:t>R² = 0.698</w:t>
            </w:r>
          </w:p>
        </w:tc>
        <w:tc>
          <w:tcPr>
            <w:tcW w:type="dxa" w:w="1152"/>
            <w:vAlign w:val="center"/>
            <w:shd w:fill="F8FAFC"/>
          </w:tcPr>
          <w:p>
            <w:pPr>
              <w:spacing w:before="60" w:after="60" w:line="276" w:lineRule="auto"/>
            </w:pPr>
            <w:r>
              <w:rPr>
                <w:rFonts w:ascii="Calibri" w:hAnsi="Calibri"/>
                <w:color w:val="1E293B"/>
                <w:sz w:val="17"/>
              </w:rPr>
              <w:t>+5.5% R²</w:t>
            </w:r>
          </w:p>
        </w:tc>
        <w:tc>
          <w:tcPr>
            <w:tcW w:type="dxa" w:w="2592"/>
            <w:vAlign w:val="center"/>
            <w:shd w:fill="F8FAFC"/>
          </w:tcPr>
          <w:p>
            <w:pPr>
              <w:spacing w:before="60" w:after="60" w:line="276" w:lineRule="auto"/>
            </w:pPr>
            <w:r>
              <w:rPr>
                <w:rFonts w:ascii="Calibri" w:hAnsi="Calibri"/>
                <w:color w:val="1E293B"/>
                <w:sz w:val="17"/>
              </w:rPr>
              <w:t>Highest overall accuracy; explains ~70% of funding variation.</w:t>
            </w:r>
          </w:p>
        </w:tc>
      </w:tr>
      <w:tr>
        <w:trPr>
          <w:cantSplit/>
        </w:trPr>
        <w:tc>
          <w:tcPr>
            <w:tcW w:type="dxa" w:w="1728"/>
            <w:vAlign w:val="center"/>
            <w:shd w:fill="FFFFFF"/>
          </w:tcPr>
          <w:p>
            <w:pPr>
              <w:spacing w:before="60" w:after="60" w:line="276" w:lineRule="auto"/>
            </w:pPr>
            <w:r>
              <w:rPr>
                <w:rFonts w:ascii="Calibri" w:hAnsi="Calibri"/>
                <w:b/>
                <w:color w:val="1E293B"/>
                <w:sz w:val="17"/>
              </w:rPr>
              <w:t>Random Forest Regressor</w:t>
            </w:r>
          </w:p>
        </w:tc>
        <w:tc>
          <w:tcPr>
            <w:tcW w:type="dxa" w:w="1152"/>
            <w:vAlign w:val="center"/>
            <w:shd w:fill="FFFFFF"/>
          </w:tcPr>
          <w:p>
            <w:pPr>
              <w:spacing w:before="60" w:after="60" w:line="276" w:lineRule="auto"/>
            </w:pPr>
            <w:r>
              <w:rPr>
                <w:rFonts w:ascii="Calibri" w:hAnsi="Calibri"/>
                <w:color w:val="1E293B"/>
                <w:sz w:val="17"/>
              </w:rPr>
              <w:t>Cheque Size</w:t>
            </w:r>
          </w:p>
        </w:tc>
        <w:tc>
          <w:tcPr>
            <w:tcW w:type="dxa" w:w="1584"/>
            <w:vAlign w:val="center"/>
            <w:shd w:fill="FFFFFF"/>
          </w:tcPr>
          <w:p>
            <w:pPr>
              <w:spacing w:before="60" w:after="60" w:line="276" w:lineRule="auto"/>
            </w:pPr>
            <w:r>
              <w:rPr>
                <w:rFonts w:ascii="Calibri" w:hAnsi="Calibri"/>
                <w:color w:val="1E293B"/>
                <w:sz w:val="17"/>
              </w:rPr>
              <w:t>R² = 0.633</w:t>
            </w:r>
          </w:p>
        </w:tc>
        <w:tc>
          <w:tcPr>
            <w:tcW w:type="dxa" w:w="1584"/>
            <w:vAlign w:val="center"/>
            <w:shd w:fill="FFFFFF"/>
          </w:tcPr>
          <w:p>
            <w:pPr>
              <w:spacing w:before="60" w:after="60" w:line="276" w:lineRule="auto"/>
            </w:pPr>
            <w:r>
              <w:rPr>
                <w:rFonts w:ascii="Calibri" w:hAnsi="Calibri"/>
                <w:color w:val="1E293B"/>
                <w:sz w:val="17"/>
              </w:rPr>
              <w:t>R² = 0.686</w:t>
            </w:r>
          </w:p>
        </w:tc>
        <w:tc>
          <w:tcPr>
            <w:tcW w:type="dxa" w:w="1152"/>
            <w:vAlign w:val="center"/>
            <w:shd w:fill="FFFFFF"/>
          </w:tcPr>
          <w:p>
            <w:pPr>
              <w:spacing w:before="60" w:after="60" w:line="276" w:lineRule="auto"/>
            </w:pPr>
            <w:r>
              <w:rPr>
                <w:rFonts w:ascii="Calibri" w:hAnsi="Calibri"/>
                <w:color w:val="1E293B"/>
                <w:sz w:val="17"/>
              </w:rPr>
              <w:t>+5.3% R²</w:t>
            </w:r>
          </w:p>
        </w:tc>
        <w:tc>
          <w:tcPr>
            <w:tcW w:type="dxa" w:w="2592"/>
            <w:vAlign w:val="center"/>
            <w:shd w:fill="FFFFFF"/>
          </w:tcPr>
          <w:p>
            <w:pPr>
              <w:spacing w:before="60" w:after="60" w:line="276" w:lineRule="auto"/>
            </w:pPr>
            <w:r>
              <w:rPr>
                <w:rFonts w:ascii="Calibri" w:hAnsi="Calibri"/>
                <w:color w:val="1E293B"/>
                <w:sz w:val="17"/>
              </w:rPr>
              <w:t>Captures non-linear stage milestones; highly robust to outliers.</w:t>
            </w:r>
          </w:p>
        </w:tc>
      </w:tr>
      <w:tr>
        <w:trPr>
          <w:cantSplit/>
        </w:trPr>
        <w:tc>
          <w:tcPr>
            <w:tcW w:type="dxa" w:w="1728"/>
            <w:vAlign w:val="center"/>
            <w:shd w:fill="F8FAFC"/>
          </w:tcPr>
          <w:p>
            <w:pPr>
              <w:spacing w:before="60" w:after="60" w:line="276" w:lineRule="auto"/>
            </w:pPr>
            <w:r>
              <w:rPr>
                <w:rFonts w:ascii="Calibri" w:hAnsi="Calibri"/>
                <w:b/>
                <w:color w:val="1E293B"/>
                <w:sz w:val="17"/>
              </w:rPr>
              <w:t>Linear Regression (OLS)</w:t>
            </w:r>
          </w:p>
        </w:tc>
        <w:tc>
          <w:tcPr>
            <w:tcW w:type="dxa" w:w="1152"/>
            <w:vAlign w:val="center"/>
            <w:shd w:fill="F8FAFC"/>
          </w:tcPr>
          <w:p>
            <w:pPr>
              <w:spacing w:before="60" w:after="60" w:line="276" w:lineRule="auto"/>
            </w:pPr>
            <w:r>
              <w:rPr>
                <w:rFonts w:ascii="Calibri" w:hAnsi="Calibri"/>
                <w:color w:val="1E293B"/>
                <w:sz w:val="17"/>
              </w:rPr>
              <w:t>Cheque Size</w:t>
            </w:r>
          </w:p>
        </w:tc>
        <w:tc>
          <w:tcPr>
            <w:tcW w:type="dxa" w:w="1584"/>
            <w:vAlign w:val="center"/>
            <w:shd w:fill="F8FAFC"/>
          </w:tcPr>
          <w:p>
            <w:pPr>
              <w:spacing w:before="60" w:after="60" w:line="276" w:lineRule="auto"/>
            </w:pPr>
            <w:r>
              <w:rPr>
                <w:rFonts w:ascii="Calibri" w:hAnsi="Calibri"/>
                <w:color w:val="1E293B"/>
                <w:sz w:val="17"/>
              </w:rPr>
              <w:t>R² = 0.606</w:t>
            </w:r>
          </w:p>
        </w:tc>
        <w:tc>
          <w:tcPr>
            <w:tcW w:type="dxa" w:w="1584"/>
            <w:vAlign w:val="center"/>
            <w:shd w:fill="F8FAFC"/>
          </w:tcPr>
          <w:p>
            <w:pPr>
              <w:spacing w:before="60" w:after="60" w:line="276" w:lineRule="auto"/>
            </w:pPr>
            <w:r>
              <w:rPr>
                <w:rFonts w:ascii="Calibri" w:hAnsi="Calibri"/>
                <w:color w:val="1E293B"/>
                <w:sz w:val="17"/>
              </w:rPr>
              <w:t>R² = 0.639</w:t>
            </w:r>
          </w:p>
        </w:tc>
        <w:tc>
          <w:tcPr>
            <w:tcW w:type="dxa" w:w="1152"/>
            <w:vAlign w:val="center"/>
            <w:shd w:fill="F8FAFC"/>
          </w:tcPr>
          <w:p>
            <w:pPr>
              <w:spacing w:before="60" w:after="60" w:line="276" w:lineRule="auto"/>
            </w:pPr>
            <w:r>
              <w:rPr>
                <w:rFonts w:ascii="Calibri" w:hAnsi="Calibri"/>
                <w:color w:val="1E293B"/>
                <w:sz w:val="17"/>
              </w:rPr>
              <w:t>+3.3% R²</w:t>
            </w:r>
          </w:p>
        </w:tc>
        <w:tc>
          <w:tcPr>
            <w:tcW w:type="dxa" w:w="2592"/>
            <w:vAlign w:val="center"/>
            <w:shd w:fill="F8FAFC"/>
          </w:tcPr>
          <w:p>
            <w:pPr>
              <w:spacing w:before="60" w:after="60" w:line="276" w:lineRule="auto"/>
            </w:pPr>
            <w:r>
              <w:rPr>
                <w:rFonts w:ascii="Calibri" w:hAnsi="Calibri"/>
                <w:color w:val="1E293B"/>
                <w:sz w:val="17"/>
              </w:rPr>
              <w:t>Provides clear percentage elasticities; shows steady network premium.</w:t>
            </w:r>
          </w:p>
        </w:tc>
      </w:tr>
      <w:tr>
        <w:trPr>
          <w:cantSplit/>
        </w:trPr>
        <w:tc>
          <w:tcPr>
            <w:tcW w:type="dxa" w:w="1728"/>
            <w:vAlign w:val="center"/>
            <w:shd w:fill="FFFFFF"/>
          </w:tcPr>
          <w:p>
            <w:pPr>
              <w:spacing w:before="60" w:after="60" w:line="276" w:lineRule="auto"/>
            </w:pPr>
            <w:r>
              <w:rPr>
                <w:rFonts w:ascii="Calibri" w:hAnsi="Calibri"/>
                <w:b/>
                <w:color w:val="1E293B"/>
                <w:sz w:val="17"/>
              </w:rPr>
              <w:t>Logistic Regression</w:t>
            </w:r>
          </w:p>
        </w:tc>
        <w:tc>
          <w:tcPr>
            <w:tcW w:type="dxa" w:w="1152"/>
            <w:vAlign w:val="center"/>
            <w:shd w:fill="FFFFFF"/>
          </w:tcPr>
          <w:p>
            <w:pPr>
              <w:spacing w:before="60" w:after="60" w:line="276" w:lineRule="auto"/>
            </w:pPr>
            <w:r>
              <w:rPr>
                <w:rFonts w:ascii="Calibri" w:hAnsi="Calibri"/>
                <w:color w:val="1E293B"/>
                <w:sz w:val="17"/>
              </w:rPr>
              <w:t>Graduation</w:t>
            </w:r>
          </w:p>
        </w:tc>
        <w:tc>
          <w:tcPr>
            <w:tcW w:type="dxa" w:w="1584"/>
            <w:vAlign w:val="center"/>
            <w:shd w:fill="FFFFFF"/>
          </w:tcPr>
          <w:p>
            <w:pPr>
              <w:spacing w:before="60" w:after="60" w:line="276" w:lineRule="auto"/>
            </w:pPr>
            <w:r>
              <w:rPr>
                <w:rFonts w:ascii="Calibri" w:hAnsi="Calibri"/>
                <w:color w:val="1E293B"/>
                <w:sz w:val="17"/>
              </w:rPr>
              <w:t>AUC = 0.889</w:t>
            </w:r>
          </w:p>
        </w:tc>
        <w:tc>
          <w:tcPr>
            <w:tcW w:type="dxa" w:w="1584"/>
            <w:vAlign w:val="center"/>
            <w:shd w:fill="FFFFFF"/>
          </w:tcPr>
          <w:p>
            <w:pPr>
              <w:spacing w:before="60" w:after="60" w:line="276" w:lineRule="auto"/>
            </w:pPr>
            <w:r>
              <w:rPr>
                <w:rFonts w:ascii="Calibri" w:hAnsi="Calibri"/>
                <w:color w:val="1E293B"/>
                <w:sz w:val="17"/>
              </w:rPr>
              <w:t>AUC = 0.890</w:t>
            </w:r>
          </w:p>
        </w:tc>
        <w:tc>
          <w:tcPr>
            <w:tcW w:type="dxa" w:w="1152"/>
            <w:vAlign w:val="center"/>
            <w:shd w:fill="FFFFFF"/>
          </w:tcPr>
          <w:p>
            <w:pPr>
              <w:spacing w:before="60" w:after="60" w:line="276" w:lineRule="auto"/>
            </w:pPr>
            <w:r>
              <w:rPr>
                <w:rFonts w:ascii="Calibri" w:hAnsi="Calibri"/>
                <w:color w:val="1E293B"/>
                <w:sz w:val="17"/>
              </w:rPr>
              <w:t>+0.1% AUC</w:t>
            </w:r>
          </w:p>
        </w:tc>
        <w:tc>
          <w:tcPr>
            <w:tcW w:type="dxa" w:w="2592"/>
            <w:vAlign w:val="center"/>
            <w:shd w:fill="FFFFFF"/>
          </w:tcPr>
          <w:p>
            <w:pPr>
              <w:spacing w:before="60" w:after="60" w:line="276" w:lineRule="auto"/>
            </w:pPr>
            <w:r>
              <w:rPr>
                <w:rFonts w:ascii="Calibri" w:hAnsi="Calibri"/>
                <w:color w:val="1E293B"/>
                <w:sz w:val="17"/>
              </w:rPr>
              <w:t>Exceptional probabilistic calibration; 85.1% test accuracy.</w:t>
            </w:r>
          </w:p>
        </w:tc>
      </w:tr>
      <w:tr>
        <w:trPr>
          <w:cantSplit/>
        </w:trPr>
        <w:tc>
          <w:tcPr>
            <w:tcW w:type="dxa" w:w="1728"/>
            <w:vAlign w:val="center"/>
            <w:shd w:fill="F8FAFC"/>
          </w:tcPr>
          <w:p>
            <w:pPr>
              <w:spacing w:before="60" w:after="60" w:line="276" w:lineRule="auto"/>
            </w:pPr>
            <w:r>
              <w:rPr>
                <w:rFonts w:ascii="Calibri" w:hAnsi="Calibri"/>
                <w:b/>
                <w:color w:val="1E293B"/>
                <w:sz w:val="17"/>
              </w:rPr>
              <w:t>XGBoost Classifier</w:t>
            </w:r>
          </w:p>
        </w:tc>
        <w:tc>
          <w:tcPr>
            <w:tcW w:type="dxa" w:w="1152"/>
            <w:vAlign w:val="center"/>
            <w:shd w:fill="F8FAFC"/>
          </w:tcPr>
          <w:p>
            <w:pPr>
              <w:spacing w:before="60" w:after="60" w:line="276" w:lineRule="auto"/>
            </w:pPr>
            <w:r>
              <w:rPr>
                <w:rFonts w:ascii="Calibri" w:hAnsi="Calibri"/>
                <w:color w:val="1E293B"/>
                <w:sz w:val="17"/>
              </w:rPr>
              <w:t>Graduation</w:t>
            </w:r>
          </w:p>
        </w:tc>
        <w:tc>
          <w:tcPr>
            <w:tcW w:type="dxa" w:w="1584"/>
            <w:vAlign w:val="center"/>
            <w:shd w:fill="F8FAFC"/>
          </w:tcPr>
          <w:p>
            <w:pPr>
              <w:spacing w:before="60" w:after="60" w:line="276" w:lineRule="auto"/>
            </w:pPr>
            <w:r>
              <w:rPr>
                <w:rFonts w:ascii="Calibri" w:hAnsi="Calibri"/>
                <w:color w:val="1E293B"/>
                <w:sz w:val="17"/>
              </w:rPr>
              <w:t>AUC = 0.869</w:t>
            </w:r>
          </w:p>
        </w:tc>
        <w:tc>
          <w:tcPr>
            <w:tcW w:type="dxa" w:w="1584"/>
            <w:vAlign w:val="center"/>
            <w:shd w:fill="F8FAFC"/>
          </w:tcPr>
          <w:p>
            <w:pPr>
              <w:spacing w:before="60" w:after="60" w:line="276" w:lineRule="auto"/>
            </w:pPr>
            <w:r>
              <w:rPr>
                <w:rFonts w:ascii="Calibri" w:hAnsi="Calibri"/>
                <w:color w:val="1E293B"/>
                <w:sz w:val="17"/>
              </w:rPr>
              <w:t>AUC = 0.877</w:t>
            </w:r>
          </w:p>
        </w:tc>
        <w:tc>
          <w:tcPr>
            <w:tcW w:type="dxa" w:w="1152"/>
            <w:vAlign w:val="center"/>
            <w:shd w:fill="F8FAFC"/>
          </w:tcPr>
          <w:p>
            <w:pPr>
              <w:spacing w:before="60" w:after="60" w:line="276" w:lineRule="auto"/>
            </w:pPr>
            <w:r>
              <w:rPr>
                <w:rFonts w:ascii="Calibri" w:hAnsi="Calibri"/>
                <w:color w:val="1E293B"/>
                <w:sz w:val="17"/>
              </w:rPr>
              <w:t>+0.8% AUC</w:t>
            </w:r>
          </w:p>
        </w:tc>
        <w:tc>
          <w:tcPr>
            <w:tcW w:type="dxa" w:w="2592"/>
            <w:vAlign w:val="center"/>
            <w:shd w:fill="F8FAFC"/>
          </w:tcPr>
          <w:p>
            <w:pPr>
              <w:spacing w:before="60" w:after="60" w:line="276" w:lineRule="auto"/>
            </w:pPr>
            <w:r>
              <w:rPr>
                <w:rFonts w:ascii="Calibri" w:hAnsi="Calibri"/>
                <w:color w:val="1E293B"/>
                <w:sz w:val="17"/>
              </w:rPr>
              <w:t>95.7% precision; when it predicts graduation, it is right 19 out of 20 times.</w:t>
            </w:r>
          </w:p>
        </w:tc>
      </w:tr>
    </w:tbl>
    <w:p>
      <w:pPr>
        <w:keepNext/>
        <w:spacing w:before="280" w:after="120"/>
      </w:pPr>
      <w:r>
        <w:rPr>
          <w:rFonts w:ascii="Calibri" w:hAnsi="Calibri"/>
          <w:b/>
          <w:color w:val="1E3A8A"/>
          <w:sz w:val="26"/>
        </w:rPr>
        <w:t>Step 8: Interactive Visualization &amp; Ecosystem Insights</w:t>
      </w:r>
    </w:p>
    <w:p>
      <w:pPr>
        <w:spacing w:before="0" w:after="120" w:line="276" w:lineRule="auto"/>
      </w:pPr>
      <w:r>
        <w:rPr>
          <w:rFonts w:ascii="Calibri" w:hAnsi="Calibri"/>
          <w:i w:val="0"/>
          <w:color w:val="1E293B"/>
          <w:sz w:val="22"/>
        </w:rPr>
        <w:t>Numbers in tables can be difficult to explore. To make the findings intuitive and transparent, we built an interactive physics-driven web visualizer (founder_investor_network.html) using WebGL and PyVis.</w:t>
      </w:r>
    </w:p>
    <w:p>
      <w:pPr>
        <w:spacing w:before="0" w:after="120" w:line="276" w:lineRule="auto"/>
      </w:pPr>
      <w:r>
        <w:rPr>
          <w:rFonts w:ascii="Calibri" w:hAnsi="Calibri"/>
          <w:i w:val="0"/>
          <w:color w:val="1E293B"/>
          <w:sz w:val="22"/>
        </w:rPr>
        <w:t>In this visual map:</w:t>
      </w:r>
    </w:p>
    <w:p>
      <w:pPr>
        <w:pStyle w:val="ListBullet"/>
        <w:spacing w:before="0" w:after="80" w:line="276" w:lineRule="auto"/>
      </w:pPr>
      <w:r>
        <w:rPr>
          <w:rFonts w:ascii="Calibri" w:hAnsi="Calibri"/>
          <w:b/>
          <w:color w:val="1E293B"/>
          <w:sz w:val="22"/>
        </w:rPr>
        <w:t xml:space="preserve">• Color-Coded Entities: </w:t>
      </w:r>
      <w:r>
        <w:rPr>
          <w:rFonts w:ascii="Calibri" w:hAnsi="Calibri"/>
          <w:color w:val="1E293B"/>
          <w:sz w:val="22"/>
        </w:rPr>
        <w:t xml:space="preserve"> Startups appear as green nodes, Investors appear as blue nodes, and Founders appear as orange nodes.</w:t>
      </w:r>
    </w:p>
    <w:p>
      <w:pPr>
        <w:pStyle w:val="ListBullet"/>
        <w:spacing w:before="0" w:after="80" w:line="276" w:lineRule="auto"/>
      </w:pPr>
      <w:r>
        <w:rPr>
          <w:rFonts w:ascii="Calibri" w:hAnsi="Calibri"/>
          <w:b/>
          <w:color w:val="1E293B"/>
          <w:sz w:val="22"/>
        </w:rPr>
        <w:t xml:space="preserve">• Node Sizing by Influence: </w:t>
      </w:r>
      <w:r>
        <w:rPr>
          <w:rFonts w:ascii="Calibri" w:hAnsi="Calibri"/>
          <w:color w:val="1E293B"/>
          <w:sz w:val="22"/>
        </w:rPr>
        <w:t xml:space="preserve"> Nodes are sized directly by their PageRank reputation score, making market leaders immediately visible at a glance.</w:t>
      </w:r>
    </w:p>
    <w:p>
      <w:pPr>
        <w:pStyle w:val="ListBullet"/>
        <w:spacing w:before="0" w:after="80" w:line="276" w:lineRule="auto"/>
      </w:pPr>
      <w:r>
        <w:rPr>
          <w:rFonts w:ascii="Calibri" w:hAnsi="Calibri"/>
          <w:b/>
          <w:color w:val="1E293B"/>
          <w:sz w:val="22"/>
        </w:rPr>
        <w:t xml:space="preserve">• Interactive Neighborhood Exploration: </w:t>
      </w:r>
      <w:r>
        <w:rPr>
          <w:rFonts w:ascii="Calibri" w:hAnsi="Calibri"/>
          <w:color w:val="1E293B"/>
          <w:sz w:val="22"/>
        </w:rPr>
        <w:t xml:space="preserve"> Users can zoom in, pan, click any company or investor, and isolate their entire co-investment circle and portfolio ties.</w:t>
      </w:r>
    </w:p>
    <w:p>
      <w:pPr>
        <w:keepNext/>
        <w:spacing w:before="280" w:after="120"/>
      </w:pPr>
      <w:r>
        <w:rPr>
          <w:rFonts w:ascii="Calibri" w:hAnsi="Calibri"/>
          <w:b/>
          <w:color w:val="1E3A8A"/>
          <w:sz w:val="26"/>
        </w:rPr>
        <w:t>Step 9: Translating Results into Practical Takeaways</w:t>
      </w:r>
    </w:p>
    <w:p>
      <w:pPr>
        <w:spacing w:before="0" w:after="120" w:line="276" w:lineRule="auto"/>
      </w:pPr>
      <w:r>
        <w:rPr>
          <w:rFonts w:ascii="Calibri" w:hAnsi="Calibri"/>
          <w:i w:val="0"/>
          <w:color w:val="1E293B"/>
          <w:sz w:val="22"/>
        </w:rPr>
        <w:t>By completing this methodology, the project delivers three clear, practical takeaways for anyone navigating the Indian startup ecosystem:</w:t>
      </w:r>
    </w:p>
    <w:p>
      <w:pPr>
        <w:pStyle w:val="ListBullet"/>
        <w:spacing w:before="0" w:after="80" w:line="276" w:lineRule="auto"/>
      </w:pPr>
      <w:r>
        <w:rPr>
          <w:rFonts w:ascii="Calibri" w:hAnsi="Calibri"/>
          <w:b/>
          <w:color w:val="1E293B"/>
          <w:sz w:val="22"/>
        </w:rPr>
        <w:t xml:space="preserve">1. The "Stamp of Credibility" Premium: </w:t>
      </w:r>
      <w:r>
        <w:rPr>
          <w:rFonts w:ascii="Calibri" w:hAnsi="Calibri"/>
          <w:color w:val="1E293B"/>
          <w:sz w:val="22"/>
        </w:rPr>
        <w:t xml:space="preserve"> Backing from a prestigious investor is not just cosmetic; it provides an independent +5.5% boost in funding predictability and acts as an enduring certification signal for subsequent rounds.</w:t>
      </w:r>
    </w:p>
    <w:p>
      <w:pPr>
        <w:pStyle w:val="ListBullet"/>
        <w:spacing w:before="0" w:after="80" w:line="276" w:lineRule="auto"/>
      </w:pPr>
      <w:r>
        <w:rPr>
          <w:rFonts w:ascii="Calibri" w:hAnsi="Calibri"/>
          <w:b/>
          <w:color w:val="1E293B"/>
          <w:sz w:val="22"/>
        </w:rPr>
        <w:t xml:space="preserve">2. Data-Driven Deal Screening: </w:t>
      </w:r>
      <w:r>
        <w:rPr>
          <w:rFonts w:ascii="Calibri" w:hAnsi="Calibri"/>
          <w:color w:val="1E293B"/>
          <w:sz w:val="22"/>
        </w:rPr>
        <w:t xml:space="preserve"> Automated classification models that combine company operational metrics with syndicate reputation achieve 95.7% precision, allowing venture investors to spot breakout winners while avoiding costly false alarms.</w:t>
      </w:r>
    </w:p>
    <w:p>
      <w:pPr>
        <w:pStyle w:val="ListBullet"/>
        <w:spacing w:before="0" w:after="80" w:line="276" w:lineRule="auto"/>
      </w:pPr>
      <w:r>
        <w:rPr>
          <w:rFonts w:ascii="Calibri" w:hAnsi="Calibri"/>
          <w:b/>
          <w:color w:val="1E293B"/>
          <w:sz w:val="22"/>
        </w:rPr>
        <w:t xml:space="preserve">3. Breaking Geographic Silos: </w:t>
      </w:r>
      <w:r>
        <w:rPr>
          <w:rFonts w:ascii="Calibri" w:hAnsi="Calibri"/>
          <w:color w:val="1E293B"/>
          <w:sz w:val="22"/>
        </w:rPr>
        <w:t xml:space="preserve"> Because over 60% of all capital is concentrated in Bengaluru and Delhi-NCR, founders in emerging tech hubs need to actively court lead investors with high bridge scores to break into tier-1 venture syndicates.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