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rFonts w:ascii="Calibri" w:hAnsi="Calibri"/>
          <w:b/>
          <w:color w:val="1E3A8A"/>
          <w:sz w:val="44"/>
        </w:rPr>
      </w:pPr>
      <w:r>
        <w:rPr>
          <w:rFonts w:ascii="Calibri" w:hAnsi="Calibri"/>
          <w:b/>
          <w:color w:val="1E3A8A"/>
          <w:sz w:val="44"/>
        </w:rPr>
        <w:t>Methodology &amp; Models Guide: Project Analysis &amp; Model Rationale</w:t>
      </w:r>
    </w:p>
    <w:p>
      <w:pPr>
        <w:pStyle w:val="Normal"/>
        <w:keepNext w:val="true"/>
        <w:spacing w:before="320" w:after="120"/>
        <w:rPr>
          <w:rFonts w:ascii="Calibri" w:hAnsi="Calibri"/>
          <w:b/>
          <w:color w:val="1E3A8A"/>
          <w:sz w:val="28"/>
        </w:rPr>
      </w:pPr>
      <w:r>
        <w:rPr>
          <w:rFonts w:ascii="Calibri" w:hAnsi="Calibri"/>
          <w:b/>
          <w:color w:val="1E3A8A"/>
          <w:sz w:val="28"/>
        </w:rPr>
        <w:t>1. Project Purpose &amp; Big-Picture Strategy</w:t>
      </w:r>
    </w:p>
    <w:p>
      <w:pPr>
        <w:pStyle w:val="Normal"/>
        <w:spacing w:lineRule="auto" w:line="276" w:before="0" w:after="120"/>
        <w:rPr>
          <w:rFonts w:ascii="Calibri" w:hAnsi="Calibri"/>
          <w:color w:val="1E293B"/>
          <w:sz w:val="22"/>
        </w:rPr>
      </w:pPr>
      <w:r>
        <w:rPr>
          <w:rFonts w:ascii="Calibri" w:hAnsi="Calibri"/>
          <w:color w:val="1E293B"/>
          <w:sz w:val="22"/>
        </w:rPr>
        <w:t>In the startup world, raising capital often feels like a black box. Why do some startups raise millions with ease while others struggle to find a single backer? We set out to answer two fundamental questions:</w:t>
      </w:r>
    </w:p>
    <w:p>
      <w:pPr>
        <w:pStyle w:val="ListBullet"/>
        <w:numPr>
          <w:ilvl w:val="0"/>
          <w:numId w:val="2"/>
        </w:numPr>
        <w:spacing w:lineRule="auto" w:line="276" w:before="0" w:after="80"/>
        <w:contextualSpacing/>
        <w:rPr/>
      </w:pPr>
      <w:r>
        <w:rPr>
          <w:rFonts w:ascii="Calibri" w:hAnsi="Calibri"/>
          <w:b/>
          <w:color w:val="1E293B"/>
          <w:sz w:val="22"/>
        </w:rPr>
        <w:t xml:space="preserve">Question 1 (Prediction): </w:t>
      </w:r>
      <w:r>
        <w:rPr>
          <w:rFonts w:ascii="Calibri" w:hAnsi="Calibri"/>
          <w:b w:val="false"/>
          <w:bCs w:val="false"/>
          <w:color w:val="1E293B"/>
          <w:sz w:val="22"/>
        </w:rPr>
        <w:t>Can we ac</w:t>
      </w:r>
      <w:r>
        <w:rPr>
          <w:rFonts w:ascii="Calibri" w:hAnsi="Calibri"/>
          <w:color w:val="1E293B"/>
          <w:sz w:val="22"/>
        </w:rPr>
        <w:t>curately predict how much money a startup will raise and whether it will survive to raise follow-on rounds?</w:t>
      </w:r>
    </w:p>
    <w:p>
      <w:pPr>
        <w:pStyle w:val="ListBullet"/>
        <w:numPr>
          <w:ilvl w:val="0"/>
          <w:numId w:val="2"/>
        </w:numPr>
        <w:spacing w:lineRule="auto" w:line="276" w:before="0" w:after="80"/>
        <w:contextualSpacing/>
        <w:rPr/>
      </w:pPr>
      <w:r>
        <w:rPr>
          <w:rFonts w:ascii="Calibri" w:hAnsi="Calibri"/>
          <w:b/>
          <w:color w:val="1E293B"/>
          <w:sz w:val="22"/>
        </w:rPr>
        <w:t xml:space="preserve">Question 2 (The Investor Network Advantage): </w:t>
      </w:r>
      <w:r>
        <w:rPr>
          <w:rFonts w:ascii="Calibri" w:hAnsi="Calibri"/>
          <w:color w:val="1E293B"/>
          <w:sz w:val="22"/>
        </w:rPr>
        <w:t>Does who backs a startup (the investor's reputation and network connections) create a measurable financial boost compared to basic company numbers alone?</w:t>
      </w:r>
    </w:p>
    <w:p>
      <w:pPr>
        <w:pStyle w:val="Normal"/>
        <w:spacing w:lineRule="auto" w:line="276" w:before="0" w:after="120"/>
        <w:rPr>
          <w:rFonts w:ascii="Calibri" w:hAnsi="Calibri"/>
          <w:color w:val="1E293B"/>
          <w:sz w:val="22"/>
        </w:rPr>
      </w:pPr>
      <w:r>
        <w:rPr>
          <w:rFonts w:ascii="Calibri" w:hAnsi="Calibri"/>
          <w:color w:val="1E293B"/>
          <w:sz w:val="22"/>
        </w:rPr>
        <w:t>To answer these questions, we did something unique: we combined Network Analysis (mapping who knows whom in the investor world) with Machine Learning (predictive models). Pure financial numbers miss the power of reputation and relationships; pure network charts miss financial details like company age and past funding. Combining both gives a complete, realistic picture of venture capital in India.</w:t>
      </w:r>
    </w:p>
    <w:p>
      <w:pPr>
        <w:pStyle w:val="Normal"/>
        <w:keepNext w:val="true"/>
        <w:spacing w:before="320" w:after="120"/>
        <w:rPr>
          <w:rFonts w:ascii="Calibri" w:hAnsi="Calibri"/>
          <w:b/>
          <w:color w:val="1E3A8A"/>
          <w:sz w:val="28"/>
        </w:rPr>
      </w:pPr>
      <w:r>
        <w:rPr>
          <w:rFonts w:ascii="Calibri" w:hAnsi="Calibri"/>
          <w:b/>
          <w:color w:val="1E3A8A"/>
          <w:sz w:val="28"/>
        </w:rPr>
        <w:t>2. Step-by-Step: How We Analyzed the Dataset</w:t>
      </w:r>
    </w:p>
    <w:p>
      <w:pPr>
        <w:pStyle w:val="Normal"/>
        <w:keepNext w:val="true"/>
        <w:spacing w:before="240" w:after="80"/>
        <w:rPr>
          <w:rFonts w:ascii="Calibri" w:hAnsi="Calibri"/>
          <w:b/>
          <w:color w:val="0284C7"/>
          <w:sz w:val="24"/>
        </w:rPr>
      </w:pPr>
      <w:r>
        <w:rPr>
          <w:rFonts w:ascii="Calibri" w:hAnsi="Calibri"/>
          <w:b/>
          <w:color w:val="0284C7"/>
          <w:sz w:val="24"/>
        </w:rPr>
        <w:t>Step 2.1: Sourcing Real-World Data</w:t>
      </w:r>
    </w:p>
    <w:p>
      <w:pPr>
        <w:pStyle w:val="Normal"/>
        <w:spacing w:lineRule="auto" w:line="276" w:before="0" w:after="120"/>
        <w:rPr>
          <w:rFonts w:ascii="Calibri" w:hAnsi="Calibri"/>
          <w:color w:val="1E293B"/>
          <w:sz w:val="22"/>
        </w:rPr>
      </w:pPr>
      <w:r>
        <w:rPr>
          <w:rFonts w:ascii="Calibri" w:hAnsi="Calibri"/>
          <w:color w:val="1E293B"/>
          <w:sz w:val="22"/>
        </w:rPr>
        <w:t>We worked with two complementary datasets representing thousands of actual Indian startup financing transactions:</w:t>
      </w:r>
    </w:p>
    <w:p>
      <w:pPr>
        <w:pStyle w:val="ListBullet"/>
        <w:numPr>
          <w:ilvl w:val="0"/>
          <w:numId w:val="2"/>
        </w:numPr>
        <w:spacing w:lineRule="auto" w:line="276" w:before="0" w:after="80"/>
        <w:contextualSpacing/>
        <w:rPr/>
      </w:pPr>
      <w:r>
        <w:rPr>
          <w:rFonts w:ascii="Calibri" w:hAnsi="Calibri"/>
          <w:b/>
          <w:color w:val="1E293B"/>
          <w:sz w:val="22"/>
        </w:rPr>
        <w:t xml:space="preserve">Dataset 1 (Indian_Startup.csv): </w:t>
      </w:r>
      <w:r>
        <w:rPr>
          <w:rFonts w:ascii="Calibri" w:hAnsi="Calibri"/>
          <w:color w:val="1E293B"/>
          <w:sz w:val="22"/>
        </w:rPr>
        <w:t xml:space="preserve"> Contains 1,209 verified funding deals, detailing startup names, founding years, headquarter cities, industries, specific founder names, and investor syndicates. This provided our "relationship network."</w:t>
      </w:r>
    </w:p>
    <w:p>
      <w:pPr>
        <w:pStyle w:val="ListBullet"/>
        <w:numPr>
          <w:ilvl w:val="0"/>
          <w:numId w:val="2"/>
        </w:numPr>
        <w:spacing w:lineRule="auto" w:line="276" w:before="0" w:after="80"/>
        <w:contextualSpacing/>
        <w:rPr/>
      </w:pPr>
      <w:r>
        <w:rPr>
          <w:rFonts w:ascii="Calibri" w:hAnsi="Calibri"/>
          <w:b/>
          <w:color w:val="1E293B"/>
          <w:sz w:val="22"/>
        </w:rPr>
        <w:t xml:space="preserve">Dataset 2 (startup_funding.csv): </w:t>
      </w:r>
      <w:r>
        <w:rPr>
          <w:rFonts w:ascii="Calibri" w:hAnsi="Calibri"/>
          <w:color w:val="1E293B"/>
          <w:sz w:val="22"/>
        </w:rPr>
        <w:t xml:space="preserve"> Contains 3,044 funding deals from January 2015 to January 2020, recording transaction dates, startup names, industries, locations, investor names, investment types (Seed, Series A, Private Equity), and deal amounts in USD. This provided our "longitudinal tracking history."</w:t>
      </w:r>
    </w:p>
    <w:p>
      <w:pPr>
        <w:pStyle w:val="Normal"/>
        <w:keepNext w:val="true"/>
        <w:spacing w:before="240" w:after="80"/>
        <w:rPr>
          <w:rFonts w:ascii="Calibri" w:hAnsi="Calibri"/>
          <w:b/>
          <w:color w:val="0284C7"/>
          <w:sz w:val="24"/>
        </w:rPr>
      </w:pPr>
      <w:r>
        <w:rPr>
          <w:rFonts w:ascii="Calibri" w:hAnsi="Calibri"/>
          <w:b/>
          <w:color w:val="0284C7"/>
          <w:sz w:val="24"/>
        </w:rPr>
        <w:t>Step 2.2: Cleaning and Preparing the Messy Data</w:t>
      </w:r>
    </w:p>
    <w:p>
      <w:pPr>
        <w:pStyle w:val="Normal"/>
        <w:spacing w:lineRule="auto" w:line="276" w:before="0" w:after="120"/>
        <w:rPr>
          <w:rFonts w:ascii="Calibri" w:hAnsi="Calibri"/>
          <w:color w:val="1E293B"/>
          <w:sz w:val="22"/>
        </w:rPr>
      </w:pPr>
      <w:r>
        <w:rPr>
          <w:rFonts w:ascii="Calibri" w:hAnsi="Calibri"/>
          <w:color w:val="1E293B"/>
          <w:sz w:val="22"/>
        </w:rPr>
        <w:t>Raw venture data is notoriously noisy. We executed five critical cleaning steps:</w:t>
      </w:r>
    </w:p>
    <w:p>
      <w:pPr>
        <w:pStyle w:val="ListBullet"/>
        <w:numPr>
          <w:ilvl w:val="0"/>
          <w:numId w:val="2"/>
        </w:numPr>
        <w:spacing w:lineRule="auto" w:line="276" w:before="0" w:after="80"/>
        <w:contextualSpacing/>
        <w:rPr/>
      </w:pPr>
      <w:r>
        <w:rPr>
          <w:rFonts w:ascii="Calibri" w:hAnsi="Calibri"/>
          <w:b/>
          <w:color w:val="1E293B"/>
          <w:sz w:val="22"/>
        </w:rPr>
        <w:t xml:space="preserve">1. Unifying Startup Names: </w:t>
      </w:r>
      <w:r>
        <w:rPr>
          <w:rFonts w:ascii="Calibri" w:hAnsi="Calibri"/>
          <w:color w:val="1E293B"/>
          <w:sz w:val="22"/>
        </w:rPr>
        <w:t xml:space="preserve"> In real records, company names were often typed differently across rounds (e.g., "Ola Cabs" vs. "Ola", "Paytm Marketplace" vs. "Paytm", "BYJU'S" vs. "Byju's"). If not unified, an algorithm treats them as completely separate companies and loses their track record. We cleaned and standardized every name so each company's multi-round history was connected.</w:t>
      </w:r>
    </w:p>
    <w:p>
      <w:pPr>
        <w:pStyle w:val="ListBullet"/>
        <w:numPr>
          <w:ilvl w:val="0"/>
          <w:numId w:val="2"/>
        </w:numPr>
        <w:spacing w:lineRule="auto" w:line="276" w:before="0" w:after="80"/>
        <w:contextualSpacing/>
        <w:rPr/>
      </w:pPr>
      <w:r>
        <w:rPr>
          <w:rFonts w:ascii="Calibri" w:hAnsi="Calibri"/>
          <w:b/>
          <w:color w:val="1E293B"/>
          <w:sz w:val="22"/>
        </w:rPr>
        <w:t xml:space="preserve">2. Converting Cheques to US Dollars: </w:t>
      </w:r>
      <w:r>
        <w:rPr>
          <w:rFonts w:ascii="Calibri" w:hAnsi="Calibri"/>
          <w:color w:val="1E293B"/>
          <w:sz w:val="22"/>
        </w:rPr>
        <w:t xml:space="preserve"> Raw values were entered with Indian numbering formats (Crores, Lakhs), commas, or missing currency symbols. We converted all disclosed values into standardized US Dollars (USD).</w:t>
      </w:r>
    </w:p>
    <w:p>
      <w:pPr>
        <w:pStyle w:val="ListBullet"/>
        <w:numPr>
          <w:ilvl w:val="0"/>
          <w:numId w:val="2"/>
        </w:numPr>
        <w:spacing w:lineRule="auto" w:line="276" w:before="0" w:after="80"/>
        <w:contextualSpacing/>
        <w:rPr/>
      </w:pPr>
      <w:r>
        <w:rPr>
          <w:rFonts w:ascii="Calibri" w:hAnsi="Calibri"/>
          <w:b/>
          <w:color w:val="1E293B"/>
          <w:sz w:val="22"/>
        </w:rPr>
        <w:t xml:space="preserve">3. Grouping Messy Industries: </w:t>
      </w:r>
      <w:r>
        <w:rPr>
          <w:rFonts w:ascii="Calibri" w:hAnsi="Calibri"/>
          <w:color w:val="1E293B"/>
          <w:sz w:val="22"/>
        </w:rPr>
        <w:t xml:space="preserve"> Raw tags contained hundreds of overlapping entries. We grouped them into 8 recognizable business sectors: E-Commerce, FinTech, EdTech, Healthcare, Logistics &amp; Supply Chain, Enterprise Tech / SaaS, Consumer Services, and AgriTech.</w:t>
      </w:r>
    </w:p>
    <w:p>
      <w:pPr>
        <w:pStyle w:val="ListBullet"/>
        <w:numPr>
          <w:ilvl w:val="0"/>
          <w:numId w:val="2"/>
        </w:numPr>
        <w:spacing w:lineRule="auto" w:line="276" w:before="0" w:after="80"/>
        <w:contextualSpacing/>
        <w:rPr/>
      </w:pPr>
      <w:r>
        <w:rPr>
          <w:rFonts w:ascii="Calibri" w:hAnsi="Calibri"/>
          <w:b/>
          <w:color w:val="1E293B"/>
          <w:sz w:val="22"/>
        </w:rPr>
        <w:t xml:space="preserve">4. Organizing Geographic Venture Hubs: </w:t>
      </w:r>
      <w:r>
        <w:rPr>
          <w:rFonts w:ascii="Calibri" w:hAnsi="Calibri"/>
          <w:color w:val="1E293B"/>
          <w:sz w:val="22"/>
        </w:rPr>
        <w:t xml:space="preserve"> We mapped over 50 regional cities into the primary venture hubs: Bengaluru, Delhi-NCR (Gurgaon, Noida, New Delhi), Mumbai, Pune, Hyderabad, and Chennai, grouping remaining locations as Emerging Hubs.</w:t>
      </w:r>
    </w:p>
    <w:p>
      <w:pPr>
        <w:pStyle w:val="ListBullet"/>
        <w:numPr>
          <w:ilvl w:val="0"/>
          <w:numId w:val="2"/>
        </w:numPr>
        <w:spacing w:lineRule="auto" w:line="276" w:before="0" w:after="80"/>
        <w:contextualSpacing/>
        <w:rPr/>
      </w:pPr>
      <w:r>
        <w:rPr>
          <w:rFonts w:ascii="Calibri" w:hAnsi="Calibri"/>
          <w:b/>
          <w:color w:val="1E293B"/>
          <w:sz w:val="22"/>
        </w:rPr>
        <w:t xml:space="preserve">5. Why Log-Transform Funding Amounts? </w:t>
      </w:r>
      <w:r>
        <w:rPr>
          <w:rFonts w:ascii="Calibri" w:hAnsi="Calibri"/>
          <w:color w:val="1E293B"/>
          <w:sz w:val="22"/>
        </w:rPr>
        <w:t xml:space="preserve"> In startup funding, cheques range from small angel tickets (5,000) to massive mega-rounds (00M+). If models look at raw dollar values, a single billion-dollar round (like Paytm or Flipkart) will overpower everything else. By applying a logarithmic transformation (log(USD)), we scale numbers proportionally so doubling from M to M is evaluated on the exact same balanced footing as doubling from 0M to 0M.</w:t>
      </w:r>
    </w:p>
    <w:p>
      <w:pPr>
        <w:pStyle w:val="Normal"/>
        <w:keepNext w:val="true"/>
        <w:spacing w:before="240" w:after="80"/>
        <w:rPr>
          <w:rFonts w:ascii="Calibri" w:hAnsi="Calibri"/>
          <w:b/>
          <w:color w:val="0284C7"/>
          <w:sz w:val="24"/>
        </w:rPr>
      </w:pPr>
      <w:r>
        <w:rPr>
          <w:rFonts w:ascii="Calibri" w:hAnsi="Calibri"/>
          <w:b/>
          <w:color w:val="0284C7"/>
          <w:sz w:val="24"/>
        </w:rPr>
        <w:t>Step 2.3: Engineering Startup Track-Record Features</w:t>
      </w:r>
    </w:p>
    <w:p>
      <w:pPr>
        <w:pStyle w:val="Normal"/>
        <w:spacing w:lineRule="auto" w:line="276" w:before="0" w:after="120"/>
        <w:rPr>
          <w:rFonts w:ascii="Calibri" w:hAnsi="Calibri"/>
          <w:color w:val="1E293B"/>
          <w:sz w:val="22"/>
        </w:rPr>
      </w:pPr>
      <w:r>
        <w:rPr>
          <w:rFonts w:ascii="Calibri" w:hAnsi="Calibri"/>
          <w:color w:val="1E293B"/>
          <w:sz w:val="22"/>
        </w:rPr>
        <w:t>Algorithms need context to make accurate predictions. For every funding round in our dataset, we reconstructed each startup's historical timeline before that round took place:</w:t>
      </w:r>
    </w:p>
    <w:p>
      <w:pPr>
        <w:pStyle w:val="ListBullet"/>
        <w:numPr>
          <w:ilvl w:val="0"/>
          <w:numId w:val="2"/>
        </w:numPr>
        <w:spacing w:lineRule="auto" w:line="276" w:before="0" w:after="80"/>
        <w:contextualSpacing/>
        <w:rPr/>
      </w:pPr>
      <w:r>
        <w:rPr>
          <w:rFonts w:ascii="Calibri" w:hAnsi="Calibri"/>
          <w:b/>
          <w:color w:val="1E293B"/>
          <w:sz w:val="22"/>
        </w:rPr>
        <w:t xml:space="preserve">• </w:t>
      </w:r>
      <w:r>
        <w:rPr>
          <w:rFonts w:ascii="Calibri" w:hAnsi="Calibri"/>
          <w:b/>
          <w:color w:val="1E293B"/>
          <w:sz w:val="22"/>
        </w:rPr>
        <w:t xml:space="preserve">Total Past Funding: </w:t>
      </w:r>
      <w:r>
        <w:rPr>
          <w:rFonts w:ascii="Calibri" w:hAnsi="Calibri"/>
          <w:color w:val="1E293B"/>
          <w:sz w:val="22"/>
        </w:rPr>
        <w:t xml:space="preserve"> The cumulative sum of all money raised prior to this round.</w:t>
      </w:r>
    </w:p>
    <w:p>
      <w:pPr>
        <w:pStyle w:val="ListBullet"/>
        <w:numPr>
          <w:ilvl w:val="0"/>
          <w:numId w:val="2"/>
        </w:numPr>
        <w:spacing w:lineRule="auto" w:line="276" w:before="0" w:after="80"/>
        <w:contextualSpacing/>
        <w:rPr/>
      </w:pPr>
      <w:r>
        <w:rPr>
          <w:rFonts w:ascii="Calibri" w:hAnsi="Calibri"/>
          <w:b/>
          <w:color w:val="1E293B"/>
          <w:sz w:val="22"/>
        </w:rPr>
        <w:t xml:space="preserve">• </w:t>
      </w:r>
      <w:r>
        <w:rPr>
          <w:rFonts w:ascii="Calibri" w:hAnsi="Calibri"/>
          <w:b/>
          <w:color w:val="1E293B"/>
          <w:sz w:val="22"/>
        </w:rPr>
        <w:t xml:space="preserve">Previous Cheque Size: </w:t>
      </w:r>
      <w:r>
        <w:rPr>
          <w:rFonts w:ascii="Calibri" w:hAnsi="Calibri"/>
          <w:color w:val="1E293B"/>
          <w:sz w:val="22"/>
        </w:rPr>
        <w:t xml:space="preserve"> The dollar amount secured in the immediately preceding round.</w:t>
      </w:r>
    </w:p>
    <w:p>
      <w:pPr>
        <w:pStyle w:val="ListBullet"/>
        <w:numPr>
          <w:ilvl w:val="0"/>
          <w:numId w:val="2"/>
        </w:numPr>
        <w:spacing w:lineRule="auto" w:line="276" w:before="0" w:after="80"/>
        <w:contextualSpacing/>
        <w:rPr/>
      </w:pPr>
      <w:r>
        <w:rPr>
          <w:rFonts w:ascii="Calibri" w:hAnsi="Calibri"/>
          <w:b/>
          <w:color w:val="1E293B"/>
          <w:sz w:val="22"/>
        </w:rPr>
        <w:t xml:space="preserve">• </w:t>
      </w:r>
      <w:r>
        <w:rPr>
          <w:rFonts w:ascii="Calibri" w:hAnsi="Calibri"/>
          <w:b/>
          <w:color w:val="1E293B"/>
          <w:sz w:val="22"/>
        </w:rPr>
        <w:t xml:space="preserve">Completed Round Count: </w:t>
      </w:r>
      <w:r>
        <w:rPr>
          <w:rFonts w:ascii="Calibri" w:hAnsi="Calibri"/>
          <w:color w:val="1E293B"/>
          <w:sz w:val="22"/>
        </w:rPr>
        <w:t xml:space="preserve"> Whether this was the startup's 1st round, 2nd round, or 5th round.</w:t>
      </w:r>
    </w:p>
    <w:p>
      <w:pPr>
        <w:pStyle w:val="ListBullet"/>
        <w:numPr>
          <w:ilvl w:val="0"/>
          <w:numId w:val="2"/>
        </w:numPr>
        <w:spacing w:lineRule="auto" w:line="276" w:before="0" w:after="80"/>
        <w:contextualSpacing/>
        <w:rPr/>
      </w:pPr>
      <w:r>
        <w:rPr>
          <w:rFonts w:ascii="Calibri" w:hAnsi="Calibri"/>
          <w:b/>
          <w:color w:val="1E293B"/>
          <w:sz w:val="22"/>
        </w:rPr>
        <w:t xml:space="preserve">• </w:t>
      </w:r>
      <w:r>
        <w:rPr>
          <w:rFonts w:ascii="Calibri" w:hAnsi="Calibri"/>
          <w:b/>
          <w:color w:val="1E293B"/>
          <w:sz w:val="22"/>
        </w:rPr>
        <w:t xml:space="preserve">Days Since Last Round: </w:t>
      </w:r>
      <w:r>
        <w:rPr>
          <w:rFonts w:ascii="Calibri" w:hAnsi="Calibri"/>
          <w:color w:val="1E293B"/>
          <w:sz w:val="22"/>
        </w:rPr>
        <w:t xml:space="preserve"> The exact calendar days elapsed since the startup last raised money, showing runway and momentum.</w:t>
      </w:r>
    </w:p>
    <w:p>
      <w:pPr>
        <w:pStyle w:val="ListBullet"/>
        <w:numPr>
          <w:ilvl w:val="0"/>
          <w:numId w:val="2"/>
        </w:numPr>
        <w:spacing w:lineRule="auto" w:line="276" w:before="0" w:after="80"/>
        <w:contextualSpacing/>
        <w:rPr/>
      </w:pPr>
      <w:r>
        <w:rPr>
          <w:rFonts w:ascii="Calibri" w:hAnsi="Calibri"/>
          <w:b/>
          <w:color w:val="1E293B"/>
          <w:sz w:val="22"/>
        </w:rPr>
        <w:t xml:space="preserve">• </w:t>
      </w:r>
      <w:r>
        <w:rPr>
          <w:rFonts w:ascii="Calibri" w:hAnsi="Calibri"/>
          <w:b/>
          <w:color w:val="1E293B"/>
          <w:sz w:val="22"/>
        </w:rPr>
        <w:t xml:space="preserve">Operational Company Age: </w:t>
      </w:r>
      <w:r>
        <w:rPr>
          <w:rFonts w:ascii="Calibri" w:hAnsi="Calibri"/>
          <w:color w:val="1E293B"/>
          <w:sz w:val="22"/>
        </w:rPr>
        <w:t xml:space="preserve"> Calendar days from company launch to the transaction date.</w:t>
      </w:r>
    </w:p>
    <w:p>
      <w:pPr>
        <w:pStyle w:val="ListBullet"/>
        <w:numPr>
          <w:ilvl w:val="0"/>
          <w:numId w:val="2"/>
        </w:numPr>
        <w:spacing w:lineRule="auto" w:line="276" w:before="0" w:after="80"/>
        <w:contextualSpacing/>
        <w:rPr/>
      </w:pPr>
      <w:r>
        <w:rPr>
          <w:rFonts w:ascii="Calibri" w:hAnsi="Calibri"/>
          <w:b/>
          <w:color w:val="1E293B"/>
          <w:sz w:val="22"/>
        </w:rPr>
        <w:t xml:space="preserve">• </w:t>
      </w:r>
      <w:r>
        <w:rPr>
          <w:rFonts w:ascii="Calibri" w:hAnsi="Calibri"/>
          <w:b/>
          <w:color w:val="1E293B"/>
          <w:sz w:val="22"/>
        </w:rPr>
        <w:t xml:space="preserve">Founder Team Size: </w:t>
      </w:r>
      <w:r>
        <w:rPr>
          <w:rFonts w:ascii="Calibri" w:hAnsi="Calibri"/>
          <w:color w:val="1E293B"/>
          <w:sz w:val="22"/>
        </w:rPr>
        <w:t xml:space="preserve"> The number of registered co-founders.</w:t>
      </w:r>
    </w:p>
    <w:p>
      <w:pPr>
        <w:pStyle w:val="Normal"/>
        <w:keepNext w:val="true"/>
        <w:spacing w:before="320" w:after="120"/>
        <w:rPr>
          <w:rFonts w:ascii="Calibri" w:hAnsi="Calibri"/>
          <w:b/>
          <w:color w:val="1E3A8A"/>
          <w:sz w:val="28"/>
        </w:rPr>
      </w:pPr>
      <w:r>
        <w:rPr>
          <w:rFonts w:ascii="Calibri" w:hAnsi="Calibri"/>
          <w:b/>
          <w:color w:val="1E3A8A"/>
          <w:sz w:val="28"/>
        </w:rPr>
        <w:t>3. The Network Analysis &amp; Why Each Metric Was Selected</w:t>
      </w:r>
    </w:p>
    <w:p>
      <w:pPr>
        <w:pStyle w:val="Normal"/>
        <w:spacing w:lineRule="auto" w:line="276" w:before="0" w:after="120"/>
        <w:rPr>
          <w:rFonts w:ascii="Calibri" w:hAnsi="Calibri"/>
          <w:color w:val="1E293B"/>
          <w:sz w:val="22"/>
        </w:rPr>
      </w:pPr>
      <w:r>
        <w:rPr>
          <w:rFonts w:ascii="Calibri" w:hAnsi="Calibri"/>
          <w:color w:val="1E293B"/>
          <w:sz w:val="22"/>
        </w:rPr>
        <w:t>We represented the Indian venture ecosystem as an interconnected web connecting three groups: Founders, Startups, and Investors. In this web, founders connect to startups they built, and investors connect to startups they funded.</w:t>
      </w:r>
    </w:p>
    <w:p>
      <w:pPr>
        <w:pStyle w:val="Normal"/>
        <w:spacing w:lineRule="auto" w:line="276" w:before="0" w:after="120"/>
        <w:rPr>
          <w:rFonts w:ascii="Calibri" w:hAnsi="Calibri"/>
          <w:color w:val="1E293B"/>
          <w:sz w:val="22"/>
        </w:rPr>
      </w:pPr>
      <w:r>
        <w:rPr>
          <w:rFonts w:ascii="Calibri" w:hAnsi="Calibri"/>
          <w:color w:val="1E293B"/>
          <w:sz w:val="22"/>
        </w:rPr>
        <w:t>To objectively measure an investor's market influence rather than guessing, we calculated four specific scores:</w:t>
      </w:r>
    </w:p>
    <w:p>
      <w:pPr>
        <w:pStyle w:val="Normal"/>
        <w:keepNext w:val="true"/>
        <w:spacing w:before="240" w:after="80"/>
        <w:rPr>
          <w:rFonts w:ascii="Calibri" w:hAnsi="Calibri"/>
          <w:b/>
          <w:color w:val="0284C7"/>
          <w:sz w:val="24"/>
        </w:rPr>
      </w:pPr>
      <w:r>
        <w:rPr>
          <w:rFonts w:ascii="Calibri" w:hAnsi="Calibri"/>
          <w:b/>
          <w:color w:val="0284C7"/>
          <w:sz w:val="24"/>
        </w:rPr>
        <w:t>1. Activity Score (Degree Centrality)</w:t>
      </w:r>
    </w:p>
    <w:p>
      <w:pPr>
        <w:pStyle w:val="Normal"/>
        <w:spacing w:lineRule="auto" w:line="276" w:before="0" w:after="120"/>
        <w:rPr/>
      </w:pPr>
      <w:r>
        <w:rPr>
          <w:rFonts w:ascii="Calibri" w:hAnsi="Calibri"/>
          <w:b/>
          <w:color w:val="1E293B"/>
          <w:sz w:val="22"/>
        </w:rPr>
        <w:t xml:space="preserve">• </w:t>
      </w:r>
      <w:r>
        <w:rPr>
          <w:rFonts w:ascii="Calibri" w:hAnsi="Calibri"/>
          <w:b/>
          <w:color w:val="1E293B"/>
          <w:sz w:val="22"/>
        </w:rPr>
        <w:t xml:space="preserve">What it measures: </w:t>
      </w:r>
      <w:r>
        <w:rPr>
          <w:rFonts w:ascii="Calibri" w:hAnsi="Calibri"/>
          <w:color w:val="1E293B"/>
          <w:sz w:val="22"/>
        </w:rPr>
        <w:t>Counts how many deals an investor participated in or how many investors backed a startup.</w:t>
      </w:r>
    </w:p>
    <w:p>
      <w:pPr>
        <w:pStyle w:val="Normal"/>
        <w:spacing w:lineRule="auto" w:line="276" w:before="0" w:after="120"/>
        <w:rPr/>
      </w:pPr>
      <w:r>
        <w:rPr>
          <w:rFonts w:ascii="Calibri" w:hAnsi="Calibri"/>
          <w:b/>
          <w:color w:val="1E293B"/>
          <w:sz w:val="22"/>
        </w:rPr>
        <w:t xml:space="preserve">• </w:t>
      </w:r>
      <w:r>
        <w:rPr>
          <w:rFonts w:ascii="Calibri" w:hAnsi="Calibri"/>
          <w:b/>
          <w:color w:val="1E293B"/>
          <w:sz w:val="22"/>
        </w:rPr>
        <w:t xml:space="preserve">Why chosen &amp; why not alternatives: </w:t>
      </w:r>
      <w:r>
        <w:rPr>
          <w:rFonts w:ascii="Calibri" w:hAnsi="Calibri"/>
          <w:color w:val="1E293B"/>
          <w:sz w:val="22"/>
        </w:rPr>
        <w:t>Provides the most honest, direct baseline of deal flow. An investor with 40 deals has higher market presence than one with 2 deals. We chose this because it is unweighted, intuitive, and universally recognized.</w:t>
      </w:r>
    </w:p>
    <w:p>
      <w:pPr>
        <w:pStyle w:val="Normal"/>
        <w:keepNext w:val="true"/>
        <w:spacing w:before="240" w:after="80"/>
        <w:rPr>
          <w:rFonts w:ascii="Calibri" w:hAnsi="Calibri"/>
          <w:b/>
          <w:color w:val="0284C7"/>
          <w:sz w:val="24"/>
        </w:rPr>
      </w:pPr>
      <w:r>
        <w:rPr>
          <w:rFonts w:ascii="Calibri" w:hAnsi="Calibri"/>
          <w:b/>
          <w:color w:val="0284C7"/>
          <w:sz w:val="24"/>
        </w:rPr>
        <w:t>2. Bridge Score (Betweenness Centrality)</w:t>
      </w:r>
    </w:p>
    <w:p>
      <w:pPr>
        <w:pStyle w:val="Normal"/>
        <w:spacing w:lineRule="auto" w:line="276" w:before="0" w:after="120"/>
        <w:rPr/>
      </w:pPr>
      <w:r>
        <w:rPr>
          <w:rFonts w:ascii="Calibri" w:hAnsi="Calibri"/>
          <w:b/>
          <w:color w:val="1E293B"/>
          <w:sz w:val="22"/>
        </w:rPr>
        <w:t xml:space="preserve">• </w:t>
      </w:r>
      <w:r>
        <w:rPr>
          <w:rFonts w:ascii="Calibri" w:hAnsi="Calibri"/>
          <w:b/>
          <w:color w:val="1E293B"/>
          <w:sz w:val="22"/>
        </w:rPr>
        <w:t xml:space="preserve">What it measures: </w:t>
      </w:r>
      <w:r>
        <w:rPr>
          <w:rFonts w:ascii="Calibri" w:hAnsi="Calibri"/>
          <w:color w:val="1E293B"/>
          <w:sz w:val="22"/>
        </w:rPr>
        <w:t>Measures how often an investor sits on the shortest path connecting different startup clusters or industries that would otherwise not interact.</w:t>
      </w:r>
    </w:p>
    <w:p>
      <w:pPr>
        <w:pStyle w:val="Normal"/>
        <w:spacing w:lineRule="auto" w:line="276" w:before="0" w:after="120"/>
        <w:rPr/>
      </w:pPr>
      <w:r>
        <w:rPr>
          <w:rFonts w:ascii="Calibri" w:hAnsi="Calibri"/>
          <w:b/>
          <w:color w:val="1E293B"/>
          <w:sz w:val="22"/>
        </w:rPr>
        <w:t xml:space="preserve">• </w:t>
      </w:r>
      <w:r>
        <w:rPr>
          <w:rFonts w:ascii="Calibri" w:hAnsi="Calibri"/>
          <w:b/>
          <w:color w:val="1E293B"/>
          <w:sz w:val="22"/>
        </w:rPr>
        <w:t xml:space="preserve">Why chosen &amp; why not alternatives: </w:t>
      </w:r>
      <w:r>
        <w:rPr>
          <w:rFonts w:ascii="Calibri" w:hAnsi="Calibri"/>
          <w:color w:val="1E293B"/>
          <w:sz w:val="22"/>
        </w:rPr>
        <w:t>In venture capital, super-connectors who bridge different sectors (like connecting a health tech firm to enterprise software investors) hold tremendous power. Alternative metrics like closeness centrality break down when a network has disconnected islands, but betweenness correctly pinpoints key bridges.</w:t>
      </w:r>
    </w:p>
    <w:p>
      <w:pPr>
        <w:pStyle w:val="Normal"/>
        <w:keepNext w:val="true"/>
        <w:spacing w:before="240" w:after="80"/>
        <w:rPr>
          <w:rFonts w:ascii="Calibri" w:hAnsi="Calibri"/>
          <w:b/>
          <w:color w:val="0284C7"/>
          <w:sz w:val="24"/>
        </w:rPr>
      </w:pPr>
      <w:r>
        <w:rPr>
          <w:rFonts w:ascii="Calibri" w:hAnsi="Calibri"/>
          <w:b/>
          <w:color w:val="0284C7"/>
          <w:sz w:val="24"/>
        </w:rPr>
        <w:t>3. Elite Association Score (Eigenvector Centrality)</w:t>
      </w:r>
    </w:p>
    <w:p>
      <w:pPr>
        <w:pStyle w:val="Normal"/>
        <w:spacing w:lineRule="auto" w:line="276" w:before="0" w:after="120"/>
        <w:rPr/>
      </w:pPr>
      <w:r>
        <w:rPr>
          <w:rFonts w:ascii="Calibri" w:hAnsi="Calibri"/>
          <w:b/>
          <w:color w:val="1E293B"/>
          <w:sz w:val="22"/>
        </w:rPr>
        <w:t xml:space="preserve">• </w:t>
      </w:r>
      <w:r>
        <w:rPr>
          <w:rFonts w:ascii="Calibri" w:hAnsi="Calibri"/>
          <w:b/>
          <w:color w:val="1E293B"/>
          <w:sz w:val="22"/>
        </w:rPr>
        <w:t xml:space="preserve">What it measures: </w:t>
      </w:r>
      <w:r>
        <w:rPr>
          <w:rFonts w:ascii="Calibri" w:hAnsi="Calibri"/>
          <w:color w:val="1E293B"/>
          <w:sz w:val="22"/>
        </w:rPr>
        <w:t>Measures who you know. An investor receives a higher score if they co-invest alongside other already-powerful investors.</w:t>
      </w:r>
    </w:p>
    <w:p>
      <w:pPr>
        <w:pStyle w:val="Normal"/>
        <w:spacing w:lineRule="auto" w:line="276" w:before="0" w:after="120"/>
        <w:rPr/>
      </w:pPr>
      <w:r>
        <w:rPr>
          <w:rFonts w:ascii="Calibri" w:hAnsi="Calibri"/>
          <w:b/>
          <w:color w:val="1E293B"/>
          <w:sz w:val="22"/>
        </w:rPr>
        <w:t xml:space="preserve">• </w:t>
      </w:r>
      <w:r>
        <w:rPr>
          <w:rFonts w:ascii="Calibri" w:hAnsi="Calibri"/>
          <w:b/>
          <w:color w:val="1E293B"/>
          <w:sz w:val="22"/>
        </w:rPr>
        <w:t xml:space="preserve">Why chosen &amp; why not alternatives: </w:t>
      </w:r>
      <w:r>
        <w:rPr>
          <w:rFonts w:ascii="Calibri" w:hAnsi="Calibri"/>
          <w:color w:val="1E293B"/>
          <w:sz w:val="22"/>
        </w:rPr>
        <w:t>In startup investing, having 5 deals alongside tier-1 funds matters much more than having 5 deals alongside inactive angel syndicates. Eigenvector centrality explicitly rewards prestige-by-association.</w:t>
      </w:r>
    </w:p>
    <w:p>
      <w:pPr>
        <w:pStyle w:val="Normal"/>
        <w:keepNext w:val="true"/>
        <w:spacing w:before="240" w:after="80"/>
        <w:rPr>
          <w:rFonts w:ascii="Calibri" w:hAnsi="Calibri"/>
          <w:b/>
          <w:color w:val="0284C7"/>
          <w:sz w:val="24"/>
        </w:rPr>
      </w:pPr>
      <w:r>
        <w:rPr>
          <w:rFonts w:ascii="Calibri" w:hAnsi="Calibri"/>
          <w:b/>
          <w:color w:val="0284C7"/>
          <w:sz w:val="24"/>
        </w:rPr>
        <w:t>4. Reputation &amp; Influence Score (PageRank Centrality)</w:t>
      </w:r>
    </w:p>
    <w:p>
      <w:pPr>
        <w:pStyle w:val="Normal"/>
        <w:spacing w:lineRule="auto" w:line="276" w:before="0" w:after="120"/>
        <w:rPr/>
      </w:pPr>
      <w:r>
        <w:rPr>
          <w:rFonts w:ascii="Calibri" w:hAnsi="Calibri"/>
          <w:b/>
          <w:color w:val="1E293B"/>
          <w:sz w:val="22"/>
        </w:rPr>
        <w:t xml:space="preserve">• </w:t>
      </w:r>
      <w:r>
        <w:rPr>
          <w:rFonts w:ascii="Calibri" w:hAnsi="Calibri"/>
          <w:b/>
          <w:color w:val="1E293B"/>
          <w:sz w:val="22"/>
        </w:rPr>
        <w:t xml:space="preserve">What it measures: </w:t>
      </w:r>
      <w:r>
        <w:rPr>
          <w:rFonts w:ascii="Calibri" w:hAnsi="Calibri"/>
          <w:color w:val="1E293B"/>
          <w:sz w:val="22"/>
        </w:rPr>
        <w:t>Inspired by Google's search algorithm that ranks the most trusted websites. When premier venture funds (like Tiger Global, Sequoia Capital, or Accel) co-invest in a deal, market prestige flows across that connection.</w:t>
      </w:r>
    </w:p>
    <w:p>
      <w:pPr>
        <w:pStyle w:val="Normal"/>
        <w:spacing w:lineRule="auto" w:line="276" w:before="0" w:after="120"/>
        <w:rPr/>
      </w:pPr>
      <w:r>
        <w:rPr>
          <w:rFonts w:ascii="Calibri" w:hAnsi="Calibri"/>
          <w:b/>
          <w:color w:val="1E293B"/>
          <w:sz w:val="22"/>
        </w:rPr>
        <w:t xml:space="preserve">• </w:t>
      </w:r>
      <w:r>
        <w:rPr>
          <w:rFonts w:ascii="Calibri" w:hAnsi="Calibri"/>
          <w:b/>
          <w:color w:val="1E293B"/>
          <w:sz w:val="22"/>
        </w:rPr>
        <w:t xml:space="preserve">Why chosen &amp; why not alternatives: </w:t>
      </w:r>
      <w:r>
        <w:rPr>
          <w:rFonts w:ascii="Calibri" w:hAnsi="Calibri"/>
          <w:color w:val="1E293B"/>
          <w:sz w:val="22"/>
        </w:rPr>
        <w:t>Eigenvector scores can get artificially trapped inside small, tight cliques. PageRank solves this problem by using a mathematical damping factor that spreads prestige smoothly across the entire network, preventing localized distortion.</w:t>
      </w:r>
    </w:p>
    <w:p>
      <w:pPr>
        <w:pStyle w:val="Normal"/>
        <w:keepNext w:val="true"/>
        <w:spacing w:before="240" w:after="80"/>
        <w:rPr>
          <w:rFonts w:ascii="Calibri" w:hAnsi="Calibri"/>
          <w:b/>
          <w:color w:val="0284C7"/>
          <w:sz w:val="24"/>
        </w:rPr>
      </w:pPr>
      <w:r>
        <w:rPr>
          <w:rFonts w:ascii="Calibri" w:hAnsi="Calibri"/>
          <w:b/>
          <w:color w:val="0284C7"/>
          <w:sz w:val="24"/>
        </w:rPr>
        <w:t>The "Network Bridge" Innovation</w:t>
      </w:r>
    </w:p>
    <w:p>
      <w:pPr>
        <w:pStyle w:val="Normal"/>
        <w:spacing w:lineRule="auto" w:line="276" w:before="0" w:after="120"/>
        <w:rPr>
          <w:rFonts w:ascii="Calibri" w:hAnsi="Calibri"/>
          <w:color w:val="1E293B"/>
          <w:sz w:val="22"/>
        </w:rPr>
      </w:pPr>
      <w:r>
        <w:rPr>
          <w:rFonts w:ascii="Calibri" w:hAnsi="Calibri"/>
          <w:color w:val="1E293B"/>
          <w:sz w:val="22"/>
        </w:rPr>
        <w:t>This was our core methodological link: for every startup round in our dataset, we looked up the lead investor and retrieved their network reputation score (PageRank) and the average reputation of the entire investor syndicate. We attached these scores directly to each startup's profile, creating an enriched dataset that bridges human networks with predictive numbers.</w:t>
      </w:r>
    </w:p>
    <w:p>
      <w:pPr>
        <w:pStyle w:val="Normal"/>
        <w:keepNext w:val="true"/>
        <w:spacing w:before="320" w:after="120"/>
        <w:rPr>
          <w:rFonts w:ascii="Calibri" w:hAnsi="Calibri"/>
          <w:b/>
          <w:color w:val="1E3A8A"/>
          <w:sz w:val="28"/>
        </w:rPr>
      </w:pPr>
      <w:r>
        <w:rPr>
          <w:rFonts w:ascii="Calibri" w:hAnsi="Calibri"/>
          <w:b/>
          <w:color w:val="1E3A8A"/>
          <w:sz w:val="28"/>
        </w:rPr>
        <w:t>4. Why Each Machine Learning Model Was Chosen</w:t>
      </w:r>
    </w:p>
    <w:p>
      <w:pPr>
        <w:pStyle w:val="Normal"/>
        <w:spacing w:lineRule="auto" w:line="276" w:before="0" w:after="120"/>
        <w:rPr>
          <w:rFonts w:ascii="Calibri" w:hAnsi="Calibri"/>
          <w:color w:val="1E293B"/>
          <w:sz w:val="22"/>
        </w:rPr>
      </w:pPr>
      <w:r>
        <w:rPr>
          <w:rFonts w:ascii="Calibri" w:hAnsi="Calibri"/>
          <w:color w:val="1E293B"/>
          <w:sz w:val="22"/>
        </w:rPr>
        <w:t>We designed two distinct prediction tasks to simulate how real-world investors and founders evaluate companies:</w:t>
      </w:r>
    </w:p>
    <w:p>
      <w:pPr>
        <w:pStyle w:val="Normal"/>
        <w:keepNext w:val="true"/>
        <w:spacing w:before="240" w:after="80"/>
        <w:rPr>
          <w:rFonts w:ascii="Calibri" w:hAnsi="Calibri"/>
          <w:b/>
          <w:color w:val="0284C7"/>
          <w:sz w:val="24"/>
        </w:rPr>
      </w:pPr>
      <w:r>
        <w:rPr>
          <w:rFonts w:ascii="Calibri" w:hAnsi="Calibri"/>
          <w:b/>
          <w:color w:val="0284C7"/>
          <w:sz w:val="24"/>
        </w:rPr>
        <w:t>Task A: Predicting Funding Cheque Size (Continuous Regression)</w:t>
      </w:r>
    </w:p>
    <w:p>
      <w:pPr>
        <w:pStyle w:val="Normal"/>
        <w:spacing w:lineRule="auto" w:line="276" w:before="0" w:after="120"/>
        <w:rPr>
          <w:rFonts w:ascii="Calibri" w:hAnsi="Calibri"/>
          <w:color w:val="1E293B"/>
          <w:sz w:val="22"/>
        </w:rPr>
      </w:pPr>
      <w:r>
        <w:rPr>
          <w:rFonts w:ascii="Calibri" w:hAnsi="Calibri"/>
          <w:color w:val="1E293B"/>
          <w:sz w:val="22"/>
        </w:rPr>
        <w:t>The objective is predicting the dollar amount raised in a given round:</w:t>
      </w:r>
    </w:p>
    <w:p>
      <w:pPr>
        <w:pStyle w:val="ListBullet"/>
        <w:numPr>
          <w:ilvl w:val="0"/>
          <w:numId w:val="2"/>
        </w:numPr>
        <w:spacing w:lineRule="auto" w:line="276" w:before="0" w:after="80"/>
        <w:contextualSpacing/>
        <w:rPr/>
      </w:pPr>
      <w:r>
        <w:rPr>
          <w:rFonts w:ascii="Calibri" w:hAnsi="Calibri"/>
          <w:b/>
          <w:color w:val="1E293B"/>
          <w:sz w:val="22"/>
        </w:rPr>
        <w:t xml:space="preserve">• </w:t>
      </w:r>
      <w:r>
        <w:rPr>
          <w:rFonts w:ascii="Calibri" w:hAnsi="Calibri"/>
          <w:b/>
          <w:color w:val="1E293B"/>
          <w:sz w:val="22"/>
        </w:rPr>
        <w:t xml:space="preserve">Regularized Linear Regressions: </w:t>
      </w:r>
      <w:r>
        <w:rPr>
          <w:rFonts w:ascii="Calibri" w:hAnsi="Calibri"/>
          <w:color w:val="1E293B"/>
          <w:sz w:val="22"/>
        </w:rPr>
        <w:t xml:space="preserve"> OLS Linear Regression, Ridge, Lasso, and ElasticNet. We selected these as baseline models because they are completely transparent and explain relationships in direct percentage terms (e.g., "each additional funding round increases cheque size by X%"). However, linear models assume straight lines and cannot capture sudden valuation jumps.</w:t>
      </w:r>
    </w:p>
    <w:p>
      <w:pPr>
        <w:pStyle w:val="ListBullet"/>
        <w:numPr>
          <w:ilvl w:val="0"/>
          <w:numId w:val="2"/>
        </w:numPr>
        <w:spacing w:lineRule="auto" w:line="276" w:before="0" w:after="80"/>
        <w:contextualSpacing/>
        <w:rPr/>
      </w:pPr>
      <w:r>
        <w:rPr>
          <w:rFonts w:ascii="Calibri" w:hAnsi="Calibri"/>
          <w:b/>
          <w:color w:val="1E293B"/>
          <w:sz w:val="22"/>
        </w:rPr>
        <w:t xml:space="preserve">• </w:t>
      </w:r>
      <w:r>
        <w:rPr>
          <w:rFonts w:ascii="Calibri" w:hAnsi="Calibri"/>
          <w:b/>
          <w:color w:val="1E293B"/>
          <w:sz w:val="22"/>
        </w:rPr>
        <w:t xml:space="preserve">Random Forest Regressor: </w:t>
      </w:r>
      <w:r>
        <w:rPr>
          <w:rFonts w:ascii="Calibri" w:hAnsi="Calibri"/>
          <w:color w:val="1E293B"/>
          <w:sz w:val="22"/>
        </w:rPr>
        <w:t xml:space="preserve"> Combines hundreds of independent decision trees ("flowcharts") and averages their predictions. We chose Random Forest because it easily handles non-linear patterns (such as a Series B round jumping 5x after reaching a certain age) and is highly resistant to extreme outliers.</w:t>
      </w:r>
    </w:p>
    <w:p>
      <w:pPr>
        <w:pStyle w:val="ListBullet"/>
        <w:numPr>
          <w:ilvl w:val="0"/>
          <w:numId w:val="2"/>
        </w:numPr>
        <w:spacing w:lineRule="auto" w:line="276" w:before="0" w:after="80"/>
        <w:contextualSpacing/>
        <w:rPr/>
      </w:pPr>
      <w:r>
        <w:rPr>
          <w:rFonts w:ascii="Calibri" w:hAnsi="Calibri"/>
          <w:b/>
          <w:color w:val="1E293B"/>
          <w:sz w:val="22"/>
        </w:rPr>
        <w:t xml:space="preserve">• </w:t>
      </w:r>
      <w:r>
        <w:rPr>
          <w:rFonts w:ascii="Calibri" w:hAnsi="Calibri"/>
          <w:b/>
          <w:color w:val="1E293B"/>
          <w:sz w:val="22"/>
        </w:rPr>
        <w:t xml:space="preserve">XGBoost Regressor (Gradient Boosted Trees): </w:t>
      </w:r>
      <w:r>
        <w:rPr>
          <w:rFonts w:ascii="Calibri" w:hAnsi="Calibri"/>
          <w:color w:val="1E293B"/>
          <w:sz w:val="22"/>
        </w:rPr>
        <w:t xml:space="preserve"> Builds decision trees sequentially, where each new tree specifically focuses on correcting the errors made by prior trees. We selected XGBoost because it consistently delivers state-of-the-art accuracy on tabular business data. It proved to be our top-performing model, explaining ~70% of all funding variation (R² = 0.698).</w:t>
      </w:r>
    </w:p>
    <w:p>
      <w:pPr>
        <w:pStyle w:val="ListBullet"/>
        <w:numPr>
          <w:ilvl w:val="0"/>
          <w:numId w:val="2"/>
        </w:numPr>
        <w:spacing w:lineRule="auto" w:line="276" w:before="0" w:after="80"/>
        <w:contextualSpacing/>
        <w:rPr/>
      </w:pPr>
      <w:r>
        <w:rPr>
          <w:rFonts w:ascii="Calibri" w:hAnsi="Calibri"/>
          <w:b/>
          <w:color w:val="1E293B"/>
          <w:sz w:val="22"/>
        </w:rPr>
        <w:t xml:space="preserve">• </w:t>
      </w:r>
      <w:r>
        <w:rPr>
          <w:rFonts w:ascii="Calibri" w:hAnsi="Calibri"/>
          <w:b/>
          <w:color w:val="1E293B"/>
          <w:sz w:val="22"/>
        </w:rPr>
        <w:t xml:space="preserve">Why Not Deep Neural Networks? </w:t>
      </w:r>
      <w:r>
        <w:rPr>
          <w:rFonts w:ascii="Calibri" w:hAnsi="Calibri"/>
          <w:color w:val="1E293B"/>
          <w:sz w:val="22"/>
        </w:rPr>
        <w:t xml:space="preserve"> Tabular startup datasets with several thousand rows perform poorly on deep neural networks (which easily overfit and require millions of data points). Gradient boosted decision trees excel on structured business tables with mixed numbers and categories.</w:t>
      </w:r>
    </w:p>
    <w:p>
      <w:pPr>
        <w:pStyle w:val="Normal"/>
        <w:keepNext w:val="true"/>
        <w:spacing w:before="240" w:after="80"/>
        <w:rPr/>
      </w:pPr>
      <w:r>
        <w:rPr>
          <w:rFonts w:ascii="Calibri" w:hAnsi="Calibri"/>
          <w:b/>
          <w:color w:val="0284C7"/>
          <w:sz w:val="24"/>
        </w:rPr>
        <w:t>Task B: Predicting Startup Survival &amp; Graduation (Binary Classification)</w:t>
      </w:r>
    </w:p>
    <w:p>
      <w:pPr>
        <w:pStyle w:val="Normal"/>
        <w:spacing w:lineRule="auto" w:line="276" w:before="0" w:after="120"/>
        <w:rPr>
          <w:rFonts w:ascii="Calibri" w:hAnsi="Calibri"/>
          <w:color w:val="1E293B"/>
          <w:sz w:val="22"/>
        </w:rPr>
      </w:pPr>
      <w:r>
        <w:rPr>
          <w:rFonts w:ascii="Calibri" w:hAnsi="Calibri"/>
          <w:color w:val="1E293B"/>
          <w:sz w:val="22"/>
        </w:rPr>
        <w:t>The objective is predicting whether a startup will successfully progress to raise follow-on funding rounds, or whether it will stall as a single-round company:</w:t>
      </w:r>
    </w:p>
    <w:p>
      <w:pPr>
        <w:pStyle w:val="ListBullet"/>
        <w:numPr>
          <w:ilvl w:val="0"/>
          <w:numId w:val="2"/>
        </w:numPr>
        <w:spacing w:lineRule="auto" w:line="276" w:before="0" w:after="80"/>
        <w:contextualSpacing/>
        <w:rPr/>
      </w:pPr>
      <w:r>
        <w:rPr>
          <w:rFonts w:ascii="Calibri" w:hAnsi="Calibri"/>
          <w:b/>
          <w:color w:val="1E293B"/>
          <w:sz w:val="22"/>
        </w:rPr>
        <w:t xml:space="preserve">• </w:t>
      </w:r>
      <w:r>
        <w:rPr>
          <w:rFonts w:ascii="Calibri" w:hAnsi="Calibri"/>
          <w:b/>
          <w:color w:val="1E293B"/>
          <w:sz w:val="22"/>
        </w:rPr>
        <w:t xml:space="preserve">Logistic Regression (with L2 Regularization): </w:t>
      </w:r>
      <w:r>
        <w:rPr>
          <w:rFonts w:ascii="Calibri" w:hAnsi="Calibri"/>
          <w:color w:val="1E293B"/>
          <w:sz w:val="22"/>
        </w:rPr>
        <w:t xml:space="preserve"> Chosen because it outputs well-calibrated, smooth probabilities (e.g., "this startup has an 82% chance of graduating to the next round"). Delivered the highest overall AUC (0.890).</w:t>
      </w:r>
    </w:p>
    <w:p>
      <w:pPr>
        <w:pStyle w:val="ListBullet"/>
        <w:numPr>
          <w:ilvl w:val="0"/>
          <w:numId w:val="2"/>
        </w:numPr>
        <w:spacing w:lineRule="auto" w:line="276" w:before="0" w:after="80"/>
        <w:contextualSpacing/>
        <w:rPr/>
      </w:pPr>
      <w:r>
        <w:rPr>
          <w:rFonts w:ascii="Calibri" w:hAnsi="Calibri"/>
          <w:b/>
          <w:color w:val="1E293B"/>
          <w:sz w:val="22"/>
        </w:rPr>
        <w:t xml:space="preserve">• </w:t>
      </w:r>
      <w:r>
        <w:rPr>
          <w:rFonts w:ascii="Calibri" w:hAnsi="Calibri"/>
          <w:b/>
          <w:color w:val="1E293B"/>
          <w:sz w:val="22"/>
        </w:rPr>
        <w:t xml:space="preserve">Tree Classifiers (Random Forest &amp; XGBoost): </w:t>
      </w:r>
      <w:r>
        <w:rPr>
          <w:rFonts w:ascii="Calibri" w:hAnsi="Calibri"/>
          <w:color w:val="1E293B"/>
          <w:sz w:val="22"/>
        </w:rPr>
        <w:t xml:space="preserve"> Captures subtle combinations of features (e.g., young age combined with a marquee investor). XGBoost achieved an extraordinary 95.7% precision, meaning when it flags a startup as a breakout winner, it is right ~19 out of 20 times.</w:t>
      </w:r>
    </w:p>
    <w:p>
      <w:pPr>
        <w:pStyle w:val="Normal"/>
        <w:keepNext w:val="true"/>
        <w:spacing w:before="320" w:after="120"/>
        <w:rPr>
          <w:rFonts w:ascii="Calibri" w:hAnsi="Calibri"/>
          <w:b/>
          <w:color w:val="1E3A8A"/>
          <w:sz w:val="28"/>
        </w:rPr>
      </w:pPr>
      <w:r>
        <w:rPr>
          <w:rFonts w:ascii="Calibri" w:hAnsi="Calibri"/>
          <w:b/>
          <w:color w:val="1E3A8A"/>
          <w:sz w:val="28"/>
        </w:rPr>
        <w:t>5. How We Trained, Validated, and Tested the Models</w:t>
      </w:r>
    </w:p>
    <w:p>
      <w:pPr>
        <w:pStyle w:val="Normal"/>
        <w:spacing w:lineRule="auto" w:line="276" w:before="0" w:after="120"/>
        <w:rPr>
          <w:rFonts w:ascii="Calibri" w:hAnsi="Calibri"/>
          <w:color w:val="1E293B"/>
          <w:sz w:val="22"/>
        </w:rPr>
      </w:pPr>
      <w:r>
        <w:rPr>
          <w:rFonts w:ascii="Calibri" w:hAnsi="Calibri"/>
          <w:color w:val="1E293B"/>
          <w:sz w:val="22"/>
        </w:rPr>
        <w:t>To ensure our models were genuine predictors rather than just memorizing historical records, we followed strict scientific practices:</w:t>
      </w:r>
    </w:p>
    <w:p>
      <w:pPr>
        <w:pStyle w:val="ListBullet"/>
        <w:numPr>
          <w:ilvl w:val="0"/>
          <w:numId w:val="2"/>
        </w:numPr>
        <w:spacing w:lineRule="auto" w:line="276" w:before="0" w:after="80"/>
        <w:contextualSpacing/>
        <w:rPr/>
      </w:pPr>
      <w:r>
        <w:rPr>
          <w:rFonts w:ascii="Calibri" w:hAnsi="Calibri"/>
          <w:b/>
          <w:color w:val="1E293B"/>
          <w:sz w:val="22"/>
        </w:rPr>
        <w:t xml:space="preserve">1. Strict 80/20 Train-Test Split: </w:t>
      </w:r>
      <w:r>
        <w:rPr>
          <w:rFonts w:ascii="Calibri" w:hAnsi="Calibri"/>
          <w:color w:val="1E293B"/>
          <w:sz w:val="22"/>
        </w:rPr>
        <w:t xml:space="preserve"> We locked away 20% of the dataset in an unseen test vault. The models were trained strictly on the remaining 80%. All reported performance scores were calculated exclusively on this unseen test data.</w:t>
      </w:r>
    </w:p>
    <w:p>
      <w:pPr>
        <w:pStyle w:val="ListBullet"/>
        <w:numPr>
          <w:ilvl w:val="0"/>
          <w:numId w:val="2"/>
        </w:numPr>
        <w:spacing w:lineRule="auto" w:line="276" w:before="0" w:after="80"/>
        <w:contextualSpacing/>
        <w:rPr/>
      </w:pPr>
      <w:r>
        <w:rPr>
          <w:rFonts w:ascii="Calibri" w:hAnsi="Calibri"/>
          <w:b/>
          <w:color w:val="1E293B"/>
          <w:sz w:val="22"/>
        </w:rPr>
        <w:t xml:space="preserve">2. Clear Evaluation Metrics: </w:t>
      </w:r>
      <w:r>
        <w:rPr>
          <w:rFonts w:ascii="Calibri" w:hAnsi="Calibri"/>
          <w:color w:val="1E293B"/>
          <w:sz w:val="22"/>
        </w:rPr>
        <w:t xml:space="preserve"> For cheque sizing, we used R-squared (R², the percentage of variation explained) and RMSE (average prediction error). For graduation survival, we used ROC-AUC (ability to distinguish graduating startups from stalled ones) and Precision (freedom from false alarms).</w:t>
      </w:r>
    </w:p>
    <w:p>
      <w:pPr>
        <w:pStyle w:val="ListBullet"/>
        <w:numPr>
          <w:ilvl w:val="0"/>
          <w:numId w:val="2"/>
        </w:numPr>
        <w:spacing w:lineRule="auto" w:line="276" w:before="0" w:after="80"/>
        <w:contextualSpacing/>
        <w:rPr/>
      </w:pPr>
      <w:r>
        <w:rPr>
          <w:rFonts w:ascii="Calibri" w:hAnsi="Calibri"/>
          <w:b/>
          <w:color w:val="1E293B"/>
          <w:sz w:val="22"/>
        </w:rPr>
        <w:t xml:space="preserve">3. The Network Ablation Test: </w:t>
      </w:r>
      <w:r>
        <w:rPr>
          <w:rFonts w:ascii="Calibri" w:hAnsi="Calibri"/>
          <w:color w:val="1E293B"/>
          <w:sz w:val="22"/>
        </w:rPr>
        <w:t xml:space="preserve"> To scientifically prove whether investor network scores actually matter, we trained every model twice: first with basic company numbers only (baseline), and second with the investor reputation features included. Comparing the two mathematically isolated the true value of investor prestige.</w:t>
      </w:r>
    </w:p>
    <w:p>
      <w:pPr>
        <w:pStyle w:val="Normal"/>
        <w:keepNext w:val="true"/>
        <w:spacing w:before="240" w:after="80"/>
        <w:rPr>
          <w:rFonts w:ascii="Calibri" w:hAnsi="Calibri"/>
          <w:b/>
          <w:color w:val="0284C7"/>
          <w:sz w:val="24"/>
        </w:rPr>
      </w:pPr>
      <w:r>
        <w:rPr>
          <w:rFonts w:ascii="Calibri" w:hAnsi="Calibri"/>
          <w:b/>
          <w:color w:val="0284C7"/>
          <w:sz w:val="24"/>
        </w:rPr>
        <w:t>Model Selection &amp; Justification Summary Table</w:t>
      </w:r>
    </w:p>
    <w:tbl>
      <w:tblPr>
        <w:tblW w:w="9360" w:type="dxa"/>
        <w:jc w:val="center"/>
        <w:tblInd w:w="0" w:type="dxa"/>
        <w:tblLayout w:type="fixed"/>
        <w:tblCellMar>
          <w:top w:w="0" w:type="dxa"/>
          <w:start w:w="108" w:type="dxa"/>
          <w:bottom w:w="0" w:type="dxa"/>
          <w:end w:w="108" w:type="dxa"/>
        </w:tblCellMar>
      </w:tblPr>
      <w:tblGrid>
        <w:gridCol w:w="1872"/>
        <w:gridCol w:w="1872"/>
        <w:gridCol w:w="1872"/>
        <w:gridCol w:w="1872"/>
        <w:gridCol w:w="1872"/>
      </w:tblGrid>
      <w:tr>
        <w:trPr>
          <w:tblHeader w:val="true"/>
          <w:cantSplit w:val="true"/>
        </w:trPr>
        <w:tc>
          <w:tcPr>
            <w:tcW w:w="1872" w:type="dxa"/>
            <w:tcBorders/>
            <w:shd w:fill="1E3A8A" w:val="clear"/>
            <w:vAlign w:val="center"/>
          </w:tcPr>
          <w:p>
            <w:pPr>
              <w:pStyle w:val="Normal"/>
              <w:spacing w:lineRule="auto" w:line="276" w:before="80" w:after="80"/>
              <w:rPr>
                <w:rFonts w:ascii="Calibri" w:hAnsi="Calibri"/>
                <w:b/>
                <w:color w:val="FFFFFF"/>
                <w:sz w:val="19"/>
              </w:rPr>
            </w:pPr>
            <w:r>
              <w:rPr>
                <w:rFonts w:ascii="Calibri" w:hAnsi="Calibri"/>
                <w:b/>
                <w:color w:val="FFFFFF"/>
                <w:sz w:val="19"/>
              </w:rPr>
              <w:t>Model / Algorithm</w:t>
            </w:r>
          </w:p>
        </w:tc>
        <w:tc>
          <w:tcPr>
            <w:tcW w:w="1872" w:type="dxa"/>
            <w:tcBorders/>
            <w:shd w:fill="1E3A8A" w:val="clear"/>
            <w:vAlign w:val="center"/>
          </w:tcPr>
          <w:p>
            <w:pPr>
              <w:pStyle w:val="Normal"/>
              <w:spacing w:lineRule="auto" w:line="276" w:before="80" w:after="80"/>
              <w:rPr>
                <w:rFonts w:ascii="Calibri" w:hAnsi="Calibri"/>
                <w:b/>
                <w:color w:val="FFFFFF"/>
                <w:sz w:val="19"/>
              </w:rPr>
            </w:pPr>
            <w:r>
              <w:rPr>
                <w:rFonts w:ascii="Calibri" w:hAnsi="Calibri"/>
                <w:b/>
                <w:color w:val="FFFFFF"/>
                <w:sz w:val="19"/>
              </w:rPr>
              <w:t>Target Task</w:t>
            </w:r>
          </w:p>
        </w:tc>
        <w:tc>
          <w:tcPr>
            <w:tcW w:w="1872" w:type="dxa"/>
            <w:tcBorders/>
            <w:shd w:fill="1E3A8A" w:val="clear"/>
            <w:vAlign w:val="center"/>
          </w:tcPr>
          <w:p>
            <w:pPr>
              <w:pStyle w:val="Normal"/>
              <w:spacing w:lineRule="auto" w:line="276" w:before="80" w:after="80"/>
              <w:rPr>
                <w:rFonts w:ascii="Calibri" w:hAnsi="Calibri"/>
                <w:b/>
                <w:color w:val="FFFFFF"/>
                <w:sz w:val="19"/>
              </w:rPr>
            </w:pPr>
            <w:r>
              <w:rPr>
                <w:rFonts w:ascii="Calibri" w:hAnsi="Calibri"/>
                <w:b/>
                <w:color w:val="FFFFFF"/>
                <w:sz w:val="19"/>
              </w:rPr>
              <w:t>Why It Was Chosen</w:t>
            </w:r>
          </w:p>
        </w:tc>
        <w:tc>
          <w:tcPr>
            <w:tcW w:w="1872" w:type="dxa"/>
            <w:tcBorders/>
            <w:shd w:fill="1E3A8A" w:val="clear"/>
            <w:vAlign w:val="center"/>
          </w:tcPr>
          <w:p>
            <w:pPr>
              <w:pStyle w:val="Normal"/>
              <w:spacing w:lineRule="auto" w:line="276" w:before="80" w:after="80"/>
              <w:rPr>
                <w:rFonts w:ascii="Calibri" w:hAnsi="Calibri"/>
                <w:b/>
                <w:color w:val="FFFFFF"/>
                <w:sz w:val="19"/>
              </w:rPr>
            </w:pPr>
            <w:r>
              <w:rPr>
                <w:rFonts w:ascii="Calibri" w:hAnsi="Calibri"/>
                <w:b/>
                <w:color w:val="FFFFFF"/>
                <w:sz w:val="19"/>
              </w:rPr>
              <w:t>Key Strength</w:t>
            </w:r>
          </w:p>
        </w:tc>
        <w:tc>
          <w:tcPr>
            <w:tcW w:w="1872" w:type="dxa"/>
            <w:tcBorders/>
            <w:shd w:fill="1E3A8A" w:val="clear"/>
            <w:vAlign w:val="center"/>
          </w:tcPr>
          <w:p>
            <w:pPr>
              <w:pStyle w:val="Normal"/>
              <w:spacing w:lineRule="auto" w:line="276" w:before="80" w:after="80"/>
              <w:rPr>
                <w:rFonts w:ascii="Calibri" w:hAnsi="Calibri"/>
                <w:b/>
                <w:color w:val="FFFFFF"/>
                <w:sz w:val="19"/>
              </w:rPr>
            </w:pPr>
            <w:r>
              <w:rPr>
                <w:rFonts w:ascii="Calibri" w:hAnsi="Calibri"/>
                <w:b/>
                <w:color w:val="FFFFFF"/>
                <w:sz w:val="19"/>
              </w:rPr>
              <w:t>Observed Accuracy</w:t>
            </w:r>
          </w:p>
        </w:tc>
      </w:tr>
      <w:tr>
        <w:trPr>
          <w:cantSplit w:val="true"/>
        </w:trPr>
        <w:tc>
          <w:tcPr>
            <w:tcW w:w="1872" w:type="dxa"/>
            <w:tcBorders/>
            <w:shd w:fill="FFFFFF" w:val="clear"/>
            <w:vAlign w:val="center"/>
          </w:tcPr>
          <w:p>
            <w:pPr>
              <w:pStyle w:val="Normal"/>
              <w:spacing w:lineRule="auto" w:line="276" w:before="60" w:after="60"/>
              <w:rPr>
                <w:rFonts w:ascii="Calibri" w:hAnsi="Calibri"/>
                <w:b/>
                <w:color w:val="1E293B"/>
                <w:sz w:val="18"/>
              </w:rPr>
            </w:pPr>
            <w:r>
              <w:rPr>
                <w:rFonts w:ascii="Calibri" w:hAnsi="Calibri"/>
                <w:b/>
                <w:color w:val="1E293B"/>
                <w:sz w:val="18"/>
              </w:rPr>
              <w:t>XGBoost Regressor</w:t>
            </w:r>
          </w:p>
        </w:tc>
        <w:tc>
          <w:tcPr>
            <w:tcW w:w="1872" w:type="dxa"/>
            <w:tcBorders/>
            <w:shd w:fill="FFFFFF" w:val="clear"/>
            <w:vAlign w:val="center"/>
          </w:tcPr>
          <w:p>
            <w:pPr>
              <w:pStyle w:val="Normal"/>
              <w:spacing w:lineRule="auto" w:line="276" w:before="60" w:after="60"/>
              <w:rPr>
                <w:rFonts w:ascii="Calibri" w:hAnsi="Calibri"/>
                <w:color w:val="1E293B"/>
                <w:sz w:val="18"/>
              </w:rPr>
            </w:pPr>
            <w:r>
              <w:rPr>
                <w:rFonts w:ascii="Calibri" w:hAnsi="Calibri"/>
                <w:color w:val="1E293B"/>
                <w:sz w:val="18"/>
              </w:rPr>
              <w:t>Cheque Size</w:t>
            </w:r>
          </w:p>
        </w:tc>
        <w:tc>
          <w:tcPr>
            <w:tcW w:w="1872" w:type="dxa"/>
            <w:tcBorders/>
            <w:shd w:fill="FFFFFF" w:val="clear"/>
            <w:vAlign w:val="center"/>
          </w:tcPr>
          <w:p>
            <w:pPr>
              <w:pStyle w:val="Normal"/>
              <w:spacing w:lineRule="auto" w:line="276" w:before="60" w:after="60"/>
              <w:rPr>
                <w:rFonts w:ascii="Calibri" w:hAnsi="Calibri"/>
                <w:color w:val="1E293B"/>
                <w:sz w:val="18"/>
              </w:rPr>
            </w:pPr>
            <w:r>
              <w:rPr>
                <w:rFonts w:ascii="Calibri" w:hAnsi="Calibri"/>
                <w:color w:val="1E293B"/>
                <w:sz w:val="18"/>
              </w:rPr>
              <w:t>Iterative boosting corrects prediction errors sequentially.</w:t>
            </w:r>
          </w:p>
        </w:tc>
        <w:tc>
          <w:tcPr>
            <w:tcW w:w="1872" w:type="dxa"/>
            <w:tcBorders/>
            <w:shd w:fill="FFFFFF" w:val="clear"/>
            <w:vAlign w:val="center"/>
          </w:tcPr>
          <w:p>
            <w:pPr>
              <w:pStyle w:val="Normal"/>
              <w:spacing w:lineRule="auto" w:line="276" w:before="60" w:after="60"/>
              <w:rPr>
                <w:rFonts w:ascii="Calibri" w:hAnsi="Calibri"/>
                <w:color w:val="1E293B"/>
                <w:sz w:val="18"/>
              </w:rPr>
            </w:pPr>
            <w:r>
              <w:rPr>
                <w:rFonts w:ascii="Calibri" w:hAnsi="Calibri"/>
                <w:color w:val="1E293B"/>
                <w:sz w:val="18"/>
              </w:rPr>
              <w:t>Captures complex non-linear valuation bounds.</w:t>
            </w:r>
          </w:p>
        </w:tc>
        <w:tc>
          <w:tcPr>
            <w:tcW w:w="1872" w:type="dxa"/>
            <w:tcBorders/>
            <w:shd w:fill="FFFFFF" w:val="clear"/>
            <w:vAlign w:val="center"/>
          </w:tcPr>
          <w:p>
            <w:pPr>
              <w:pStyle w:val="Normal"/>
              <w:spacing w:lineRule="auto" w:line="276" w:before="60" w:after="60"/>
              <w:rPr>
                <w:rFonts w:ascii="Calibri" w:hAnsi="Calibri"/>
                <w:color w:val="1E293B"/>
                <w:sz w:val="18"/>
              </w:rPr>
            </w:pPr>
            <w:r>
              <w:rPr>
                <w:rFonts w:ascii="Calibri" w:hAnsi="Calibri"/>
                <w:color w:val="1E293B"/>
                <w:sz w:val="18"/>
              </w:rPr>
              <w:t>R² = 0.698 (Top)</w:t>
            </w:r>
          </w:p>
        </w:tc>
      </w:tr>
      <w:tr>
        <w:trPr>
          <w:cantSplit w:val="true"/>
        </w:trPr>
        <w:tc>
          <w:tcPr>
            <w:tcW w:w="1872" w:type="dxa"/>
            <w:tcBorders/>
            <w:shd w:fill="F8FAFC" w:val="clear"/>
            <w:vAlign w:val="center"/>
          </w:tcPr>
          <w:p>
            <w:pPr>
              <w:pStyle w:val="Normal"/>
              <w:spacing w:lineRule="auto" w:line="276" w:before="60" w:after="60"/>
              <w:rPr>
                <w:rFonts w:ascii="Calibri" w:hAnsi="Calibri"/>
                <w:b/>
                <w:color w:val="1E293B"/>
                <w:sz w:val="18"/>
              </w:rPr>
            </w:pPr>
            <w:r>
              <w:rPr>
                <w:rFonts w:ascii="Calibri" w:hAnsi="Calibri"/>
                <w:b/>
                <w:color w:val="1E293B"/>
                <w:sz w:val="18"/>
              </w:rPr>
              <w:t>Random Forest Regressor</w:t>
            </w:r>
          </w:p>
        </w:tc>
        <w:tc>
          <w:tcPr>
            <w:tcW w:w="1872" w:type="dxa"/>
            <w:tcBorders/>
            <w:shd w:fill="F8FAFC" w:val="clear"/>
            <w:vAlign w:val="center"/>
          </w:tcPr>
          <w:p>
            <w:pPr>
              <w:pStyle w:val="Normal"/>
              <w:spacing w:lineRule="auto" w:line="276" w:before="60" w:after="60"/>
              <w:rPr>
                <w:rFonts w:ascii="Calibri" w:hAnsi="Calibri"/>
                <w:color w:val="1E293B"/>
                <w:sz w:val="18"/>
              </w:rPr>
            </w:pPr>
            <w:r>
              <w:rPr>
                <w:rFonts w:ascii="Calibri" w:hAnsi="Calibri"/>
                <w:color w:val="1E293B"/>
                <w:sz w:val="18"/>
              </w:rPr>
              <w:t>Cheque Size</w:t>
            </w:r>
          </w:p>
        </w:tc>
        <w:tc>
          <w:tcPr>
            <w:tcW w:w="1872" w:type="dxa"/>
            <w:tcBorders/>
            <w:shd w:fill="F8FAFC" w:val="clear"/>
            <w:vAlign w:val="center"/>
          </w:tcPr>
          <w:p>
            <w:pPr>
              <w:pStyle w:val="Normal"/>
              <w:spacing w:lineRule="auto" w:line="276" w:before="60" w:after="60"/>
              <w:rPr>
                <w:rFonts w:ascii="Calibri" w:hAnsi="Calibri"/>
                <w:color w:val="1E293B"/>
                <w:sz w:val="18"/>
              </w:rPr>
            </w:pPr>
            <w:r>
              <w:rPr>
                <w:rFonts w:ascii="Calibri" w:hAnsi="Calibri"/>
                <w:color w:val="1E293B"/>
                <w:sz w:val="18"/>
              </w:rPr>
              <w:t>Ensemble averaging across hundreds of decision trees.</w:t>
            </w:r>
          </w:p>
        </w:tc>
        <w:tc>
          <w:tcPr>
            <w:tcW w:w="1872" w:type="dxa"/>
            <w:tcBorders/>
            <w:shd w:fill="F8FAFC" w:val="clear"/>
            <w:vAlign w:val="center"/>
          </w:tcPr>
          <w:p>
            <w:pPr>
              <w:pStyle w:val="Normal"/>
              <w:spacing w:lineRule="auto" w:line="276" w:before="60" w:after="60"/>
              <w:rPr>
                <w:rFonts w:ascii="Calibri" w:hAnsi="Calibri"/>
                <w:color w:val="1E293B"/>
                <w:sz w:val="18"/>
              </w:rPr>
            </w:pPr>
            <w:r>
              <w:rPr>
                <w:rFonts w:ascii="Calibri" w:hAnsi="Calibri"/>
                <w:color w:val="1E293B"/>
                <w:sz w:val="18"/>
              </w:rPr>
              <w:t>Robust against extreme outliers and noise.</w:t>
            </w:r>
          </w:p>
        </w:tc>
        <w:tc>
          <w:tcPr>
            <w:tcW w:w="1872" w:type="dxa"/>
            <w:tcBorders/>
            <w:shd w:fill="F8FAFC" w:val="clear"/>
            <w:vAlign w:val="center"/>
          </w:tcPr>
          <w:p>
            <w:pPr>
              <w:pStyle w:val="Normal"/>
              <w:spacing w:lineRule="auto" w:line="276" w:before="60" w:after="60"/>
              <w:rPr>
                <w:rFonts w:ascii="Calibri" w:hAnsi="Calibri"/>
                <w:color w:val="1E293B"/>
                <w:sz w:val="18"/>
              </w:rPr>
            </w:pPr>
            <w:r>
              <w:rPr>
                <w:rFonts w:ascii="Calibri" w:hAnsi="Calibri"/>
                <w:color w:val="1E293B"/>
                <w:sz w:val="18"/>
              </w:rPr>
              <w:t>R² = 0.686</w:t>
            </w:r>
          </w:p>
        </w:tc>
      </w:tr>
      <w:tr>
        <w:trPr>
          <w:cantSplit w:val="true"/>
        </w:trPr>
        <w:tc>
          <w:tcPr>
            <w:tcW w:w="1872" w:type="dxa"/>
            <w:tcBorders/>
            <w:shd w:fill="FFFFFF" w:val="clear"/>
            <w:vAlign w:val="center"/>
          </w:tcPr>
          <w:p>
            <w:pPr>
              <w:pStyle w:val="Normal"/>
              <w:spacing w:lineRule="auto" w:line="276" w:before="60" w:after="60"/>
              <w:rPr>
                <w:rFonts w:ascii="Calibri" w:hAnsi="Calibri"/>
                <w:b/>
                <w:color w:val="1E293B"/>
                <w:sz w:val="18"/>
              </w:rPr>
            </w:pPr>
            <w:r>
              <w:rPr>
                <w:rFonts w:ascii="Calibri" w:hAnsi="Calibri"/>
                <w:b/>
                <w:color w:val="1E293B"/>
                <w:sz w:val="18"/>
              </w:rPr>
              <w:t>Linear Regression (OLS)</w:t>
            </w:r>
          </w:p>
        </w:tc>
        <w:tc>
          <w:tcPr>
            <w:tcW w:w="1872" w:type="dxa"/>
            <w:tcBorders/>
            <w:shd w:fill="FFFFFF" w:val="clear"/>
            <w:vAlign w:val="center"/>
          </w:tcPr>
          <w:p>
            <w:pPr>
              <w:pStyle w:val="Normal"/>
              <w:spacing w:lineRule="auto" w:line="276" w:before="60" w:after="60"/>
              <w:rPr>
                <w:rFonts w:ascii="Calibri" w:hAnsi="Calibri"/>
                <w:color w:val="1E293B"/>
                <w:sz w:val="18"/>
              </w:rPr>
            </w:pPr>
            <w:r>
              <w:rPr>
                <w:rFonts w:ascii="Calibri" w:hAnsi="Calibri"/>
                <w:color w:val="1E293B"/>
                <w:sz w:val="18"/>
              </w:rPr>
              <w:t>Cheque Size</w:t>
            </w:r>
          </w:p>
        </w:tc>
        <w:tc>
          <w:tcPr>
            <w:tcW w:w="1872" w:type="dxa"/>
            <w:tcBorders/>
            <w:shd w:fill="FFFFFF" w:val="clear"/>
            <w:vAlign w:val="center"/>
          </w:tcPr>
          <w:p>
            <w:pPr>
              <w:pStyle w:val="Normal"/>
              <w:spacing w:lineRule="auto" w:line="276" w:before="60" w:after="60"/>
              <w:rPr>
                <w:rFonts w:ascii="Calibri" w:hAnsi="Calibri"/>
                <w:color w:val="1E293B"/>
                <w:sz w:val="18"/>
              </w:rPr>
            </w:pPr>
            <w:r>
              <w:rPr>
                <w:rFonts w:ascii="Calibri" w:hAnsi="Calibri"/>
                <w:color w:val="1E293B"/>
                <w:sz w:val="18"/>
              </w:rPr>
              <w:t>Interpretable percentage elasticity coefficients.</w:t>
            </w:r>
          </w:p>
        </w:tc>
        <w:tc>
          <w:tcPr>
            <w:tcW w:w="1872" w:type="dxa"/>
            <w:tcBorders/>
            <w:shd w:fill="FFFFFF" w:val="clear"/>
            <w:vAlign w:val="center"/>
          </w:tcPr>
          <w:p>
            <w:pPr>
              <w:pStyle w:val="Normal"/>
              <w:spacing w:lineRule="auto" w:line="276" w:before="60" w:after="60"/>
              <w:rPr>
                <w:rFonts w:ascii="Calibri" w:hAnsi="Calibri"/>
                <w:color w:val="1E293B"/>
                <w:sz w:val="18"/>
              </w:rPr>
            </w:pPr>
            <w:r>
              <w:rPr>
                <w:rFonts w:ascii="Calibri" w:hAnsi="Calibri"/>
                <w:color w:val="1E293B"/>
                <w:sz w:val="18"/>
              </w:rPr>
              <w:t>Clear mathematical transparency.</w:t>
            </w:r>
          </w:p>
        </w:tc>
        <w:tc>
          <w:tcPr>
            <w:tcW w:w="1872" w:type="dxa"/>
            <w:tcBorders/>
            <w:shd w:fill="FFFFFF" w:val="clear"/>
            <w:vAlign w:val="center"/>
          </w:tcPr>
          <w:p>
            <w:pPr>
              <w:pStyle w:val="Normal"/>
              <w:spacing w:lineRule="auto" w:line="276" w:before="60" w:after="60"/>
              <w:rPr>
                <w:rFonts w:ascii="Calibri" w:hAnsi="Calibri"/>
                <w:color w:val="1E293B"/>
                <w:sz w:val="18"/>
              </w:rPr>
            </w:pPr>
            <w:r>
              <w:rPr>
                <w:rFonts w:ascii="Calibri" w:hAnsi="Calibri"/>
                <w:color w:val="1E293B"/>
                <w:sz w:val="18"/>
              </w:rPr>
              <w:t>R² = 0.639</w:t>
            </w:r>
          </w:p>
        </w:tc>
      </w:tr>
      <w:tr>
        <w:trPr>
          <w:cantSplit w:val="true"/>
        </w:trPr>
        <w:tc>
          <w:tcPr>
            <w:tcW w:w="1872" w:type="dxa"/>
            <w:tcBorders/>
            <w:shd w:fill="F8FAFC" w:val="clear"/>
            <w:vAlign w:val="center"/>
          </w:tcPr>
          <w:p>
            <w:pPr>
              <w:pStyle w:val="Normal"/>
              <w:spacing w:lineRule="auto" w:line="276" w:before="60" w:after="60"/>
              <w:rPr>
                <w:rFonts w:ascii="Calibri" w:hAnsi="Calibri"/>
                <w:b/>
                <w:color w:val="1E293B"/>
                <w:sz w:val="18"/>
              </w:rPr>
            </w:pPr>
            <w:r>
              <w:rPr>
                <w:rFonts w:ascii="Calibri" w:hAnsi="Calibri"/>
                <w:b/>
                <w:color w:val="1E293B"/>
                <w:sz w:val="18"/>
              </w:rPr>
              <w:t>Logistic Regression</w:t>
            </w:r>
          </w:p>
        </w:tc>
        <w:tc>
          <w:tcPr>
            <w:tcW w:w="1872" w:type="dxa"/>
            <w:tcBorders/>
            <w:shd w:fill="F8FAFC" w:val="clear"/>
            <w:vAlign w:val="center"/>
          </w:tcPr>
          <w:p>
            <w:pPr>
              <w:pStyle w:val="Normal"/>
              <w:spacing w:lineRule="auto" w:line="276" w:before="60" w:after="60"/>
              <w:rPr>
                <w:rFonts w:ascii="Calibri" w:hAnsi="Calibri"/>
                <w:color w:val="1E293B"/>
                <w:sz w:val="18"/>
              </w:rPr>
            </w:pPr>
            <w:r>
              <w:rPr>
                <w:rFonts w:ascii="Calibri" w:hAnsi="Calibri"/>
                <w:color w:val="1E293B"/>
                <w:sz w:val="18"/>
              </w:rPr>
              <w:t>Graduation</w:t>
            </w:r>
          </w:p>
        </w:tc>
        <w:tc>
          <w:tcPr>
            <w:tcW w:w="1872" w:type="dxa"/>
            <w:tcBorders/>
            <w:shd w:fill="F8FAFC" w:val="clear"/>
            <w:vAlign w:val="center"/>
          </w:tcPr>
          <w:p>
            <w:pPr>
              <w:pStyle w:val="Normal"/>
              <w:spacing w:lineRule="auto" w:line="276" w:before="60" w:after="60"/>
              <w:rPr>
                <w:rFonts w:ascii="Calibri" w:hAnsi="Calibri"/>
                <w:color w:val="1E293B"/>
                <w:sz w:val="18"/>
              </w:rPr>
            </w:pPr>
            <w:r>
              <w:rPr>
                <w:rFonts w:ascii="Calibri" w:hAnsi="Calibri"/>
                <w:color w:val="1E293B"/>
                <w:sz w:val="18"/>
              </w:rPr>
              <w:t>Sigmoid activation provides smooth probabilities.</w:t>
            </w:r>
          </w:p>
        </w:tc>
        <w:tc>
          <w:tcPr>
            <w:tcW w:w="1872" w:type="dxa"/>
            <w:tcBorders/>
            <w:shd w:fill="F8FAFC" w:val="clear"/>
            <w:vAlign w:val="center"/>
          </w:tcPr>
          <w:p>
            <w:pPr>
              <w:pStyle w:val="Normal"/>
              <w:spacing w:lineRule="auto" w:line="276" w:before="60" w:after="60"/>
              <w:rPr>
                <w:rFonts w:ascii="Calibri" w:hAnsi="Calibri"/>
                <w:color w:val="1E293B"/>
                <w:sz w:val="18"/>
              </w:rPr>
            </w:pPr>
            <w:r>
              <w:rPr>
                <w:rFonts w:ascii="Calibri" w:hAnsi="Calibri"/>
                <w:color w:val="1E293B"/>
                <w:sz w:val="18"/>
              </w:rPr>
              <w:t>Exceptional calibration; reliable odds.</w:t>
            </w:r>
          </w:p>
        </w:tc>
        <w:tc>
          <w:tcPr>
            <w:tcW w:w="1872" w:type="dxa"/>
            <w:tcBorders/>
            <w:shd w:fill="F8FAFC" w:val="clear"/>
            <w:vAlign w:val="center"/>
          </w:tcPr>
          <w:p>
            <w:pPr>
              <w:pStyle w:val="Normal"/>
              <w:spacing w:lineRule="auto" w:line="276" w:before="60" w:after="60"/>
              <w:rPr>
                <w:rFonts w:ascii="Calibri" w:hAnsi="Calibri"/>
                <w:color w:val="1E293B"/>
                <w:sz w:val="18"/>
              </w:rPr>
            </w:pPr>
            <w:r>
              <w:rPr>
                <w:rFonts w:ascii="Calibri" w:hAnsi="Calibri"/>
                <w:color w:val="1E293B"/>
                <w:sz w:val="18"/>
              </w:rPr>
              <w:t>AUC = 0.890 (Top)</w:t>
            </w:r>
          </w:p>
        </w:tc>
      </w:tr>
      <w:tr>
        <w:trPr>
          <w:cantSplit w:val="true"/>
        </w:trPr>
        <w:tc>
          <w:tcPr>
            <w:tcW w:w="1872" w:type="dxa"/>
            <w:tcBorders/>
            <w:shd w:fill="FFFFFF" w:val="clear"/>
            <w:vAlign w:val="center"/>
          </w:tcPr>
          <w:p>
            <w:pPr>
              <w:pStyle w:val="Normal"/>
              <w:spacing w:lineRule="auto" w:line="276" w:before="60" w:after="60"/>
              <w:rPr>
                <w:rFonts w:ascii="Calibri" w:hAnsi="Calibri"/>
                <w:b/>
                <w:color w:val="1E293B"/>
                <w:sz w:val="18"/>
              </w:rPr>
            </w:pPr>
            <w:r>
              <w:rPr>
                <w:rFonts w:ascii="Calibri" w:hAnsi="Calibri"/>
                <w:b/>
                <w:color w:val="1E293B"/>
                <w:sz w:val="18"/>
              </w:rPr>
              <w:t>XGBoost Classifier</w:t>
            </w:r>
          </w:p>
        </w:tc>
        <w:tc>
          <w:tcPr>
            <w:tcW w:w="1872" w:type="dxa"/>
            <w:tcBorders/>
            <w:shd w:fill="FFFFFF" w:val="clear"/>
            <w:vAlign w:val="center"/>
          </w:tcPr>
          <w:p>
            <w:pPr>
              <w:pStyle w:val="Normal"/>
              <w:spacing w:lineRule="auto" w:line="276" w:before="60" w:after="60"/>
              <w:rPr>
                <w:rFonts w:ascii="Calibri" w:hAnsi="Calibri"/>
                <w:color w:val="1E293B"/>
                <w:sz w:val="18"/>
              </w:rPr>
            </w:pPr>
            <w:r>
              <w:rPr>
                <w:rFonts w:ascii="Calibri" w:hAnsi="Calibri"/>
                <w:color w:val="1E293B"/>
                <w:sz w:val="18"/>
              </w:rPr>
              <w:t>Graduation</w:t>
            </w:r>
          </w:p>
        </w:tc>
        <w:tc>
          <w:tcPr>
            <w:tcW w:w="1872" w:type="dxa"/>
            <w:tcBorders/>
            <w:shd w:fill="FFFFFF" w:val="clear"/>
            <w:vAlign w:val="center"/>
          </w:tcPr>
          <w:p>
            <w:pPr>
              <w:pStyle w:val="Normal"/>
              <w:spacing w:lineRule="auto" w:line="276" w:before="60" w:after="60"/>
              <w:rPr>
                <w:rFonts w:ascii="Calibri" w:hAnsi="Calibri"/>
                <w:color w:val="1E293B"/>
                <w:sz w:val="18"/>
              </w:rPr>
            </w:pPr>
            <w:r>
              <w:rPr>
                <w:rFonts w:ascii="Calibri" w:hAnsi="Calibri"/>
                <w:color w:val="1E293B"/>
                <w:sz w:val="18"/>
              </w:rPr>
              <w:t>Gradient-boosted classification splits on complex signals.</w:t>
            </w:r>
          </w:p>
        </w:tc>
        <w:tc>
          <w:tcPr>
            <w:tcW w:w="1872" w:type="dxa"/>
            <w:tcBorders/>
            <w:shd w:fill="FFFFFF" w:val="clear"/>
            <w:vAlign w:val="center"/>
          </w:tcPr>
          <w:p>
            <w:pPr>
              <w:pStyle w:val="Normal"/>
              <w:spacing w:lineRule="auto" w:line="276" w:before="60" w:after="60"/>
              <w:rPr>
                <w:rFonts w:ascii="Calibri" w:hAnsi="Calibri"/>
                <w:color w:val="1E293B"/>
                <w:sz w:val="18"/>
              </w:rPr>
            </w:pPr>
            <w:r>
              <w:rPr>
                <w:rFonts w:ascii="Calibri" w:hAnsi="Calibri"/>
                <w:color w:val="1E293B"/>
                <w:sz w:val="18"/>
              </w:rPr>
              <w:t>95.7% precision; minimal false alarms.</w:t>
            </w:r>
          </w:p>
        </w:tc>
        <w:tc>
          <w:tcPr>
            <w:tcW w:w="1872" w:type="dxa"/>
            <w:tcBorders/>
            <w:shd w:fill="FFFFFF" w:val="clear"/>
            <w:vAlign w:val="center"/>
          </w:tcPr>
          <w:p>
            <w:pPr>
              <w:pStyle w:val="Normal"/>
              <w:spacing w:lineRule="auto" w:line="276" w:before="60" w:after="60"/>
              <w:rPr>
                <w:rFonts w:ascii="Calibri" w:hAnsi="Calibri"/>
                <w:color w:val="1E293B"/>
                <w:sz w:val="18"/>
              </w:rPr>
            </w:pPr>
            <w:r>
              <w:rPr>
                <w:rFonts w:ascii="Calibri" w:hAnsi="Calibri"/>
                <w:color w:val="1E293B"/>
                <w:sz w:val="18"/>
              </w:rPr>
              <w:t>AUC = 0.877</w:t>
            </w:r>
          </w:p>
        </w:tc>
      </w:tr>
    </w:tbl>
    <w:p>
      <w:pPr>
        <w:pStyle w:val="Normal"/>
        <w:keepNext w:val="true"/>
        <w:spacing w:before="320" w:after="120"/>
        <w:rPr>
          <w:rFonts w:ascii="Calibri" w:hAnsi="Calibri"/>
          <w:b/>
          <w:color w:val="1E3A8A"/>
          <w:sz w:val="28"/>
        </w:rPr>
      </w:pPr>
      <w:r>
        <w:rPr>
          <w:rFonts w:ascii="Calibri" w:hAnsi="Calibri"/>
          <w:b/>
          <w:color w:val="1E3A8A"/>
          <w:sz w:val="28"/>
        </w:rPr>
        <w:t>6. How We Interpreted the Empirical Results</w:t>
      </w:r>
    </w:p>
    <w:p>
      <w:pPr>
        <w:pStyle w:val="Normal"/>
        <w:spacing w:lineRule="auto" w:line="276" w:before="0" w:after="120"/>
        <w:rPr>
          <w:rFonts w:ascii="Calibri" w:hAnsi="Calibri"/>
          <w:color w:val="1E293B"/>
          <w:sz w:val="22"/>
        </w:rPr>
      </w:pPr>
      <w:r>
        <w:rPr>
          <w:rFonts w:ascii="Calibri" w:hAnsi="Calibri"/>
          <w:color w:val="1E293B"/>
          <w:sz w:val="22"/>
        </w:rPr>
        <w:t>After training and evaluating our models, we translated the numbers into real-world insights:</w:t>
      </w:r>
    </w:p>
    <w:p>
      <w:pPr>
        <w:pStyle w:val="Normal"/>
        <w:keepNext w:val="true"/>
        <w:spacing w:before="240" w:after="80"/>
        <w:rPr>
          <w:rFonts w:ascii="Calibri" w:hAnsi="Calibri"/>
          <w:b/>
          <w:color w:val="0284C7"/>
          <w:sz w:val="24"/>
        </w:rPr>
      </w:pPr>
      <w:r>
        <w:rPr>
          <w:rFonts w:ascii="Calibri" w:hAnsi="Calibri"/>
          <w:b/>
          <w:color w:val="0284C7"/>
          <w:sz w:val="24"/>
        </w:rPr>
        <w:t>Finding 1: The +5.5% "Stamp of Credibility" Premium</w:t>
      </w:r>
    </w:p>
    <w:p>
      <w:pPr>
        <w:pStyle w:val="Normal"/>
        <w:spacing w:lineRule="auto" w:line="276" w:before="0" w:after="120"/>
        <w:rPr>
          <w:rFonts w:ascii="Calibri" w:hAnsi="Calibri"/>
          <w:color w:val="1E293B"/>
          <w:sz w:val="22"/>
        </w:rPr>
      </w:pPr>
      <w:r>
        <w:rPr>
          <w:rFonts w:ascii="Calibri" w:hAnsi="Calibri"/>
          <w:color w:val="1E293B"/>
          <w:sz w:val="22"/>
        </w:rPr>
        <w:t>Across every single algorithm, adding the investor network reputation score produced a consistent +3.0% to +5.5% boost in prediction accuracy (XGBoost R² jumped from 0.643 to 0.698).</w:t>
      </w:r>
    </w:p>
    <w:p>
      <w:pPr>
        <w:pStyle w:val="Normal"/>
        <w:spacing w:lineRule="auto" w:line="276" w:before="0" w:after="120"/>
        <w:rPr>
          <w:rFonts w:ascii="Calibri" w:hAnsi="Calibri"/>
          <w:color w:val="1E293B"/>
          <w:sz w:val="22"/>
        </w:rPr>
      </w:pPr>
      <w:r>
        <w:rPr>
          <w:rFonts w:ascii="Calibri" w:hAnsi="Calibri"/>
          <w:color w:val="1E293B"/>
          <w:sz w:val="22"/>
        </w:rPr>
        <w:t>What this means in real life: An investor's reputation is not just vanity. When a startup secures backing from a prestigious fund, other market participants view that backing as an independent seal of approval. This unlocks larger syndicated cheques and smoother follow-on rounds, holding company age, sector, and past funding constant.</w:t>
      </w:r>
    </w:p>
    <w:p>
      <w:pPr>
        <w:pStyle w:val="Normal"/>
        <w:keepNext w:val="true"/>
        <w:spacing w:before="240" w:after="80"/>
        <w:rPr>
          <w:rFonts w:ascii="Calibri" w:hAnsi="Calibri"/>
          <w:b/>
          <w:color w:val="0284C7"/>
          <w:sz w:val="24"/>
        </w:rPr>
      </w:pPr>
      <w:r>
        <w:rPr>
          <w:rFonts w:ascii="Calibri" w:hAnsi="Calibri"/>
          <w:b/>
          <w:color w:val="0284C7"/>
          <w:sz w:val="24"/>
        </w:rPr>
        <w:t>Finding 2: Real Startup Case Studies in Our Database</w:t>
      </w:r>
    </w:p>
    <w:p>
      <w:pPr>
        <w:pStyle w:val="ListBullet"/>
        <w:numPr>
          <w:ilvl w:val="0"/>
          <w:numId w:val="2"/>
        </w:numPr>
        <w:spacing w:lineRule="auto" w:line="276" w:before="0" w:after="80"/>
        <w:contextualSpacing/>
        <w:rPr/>
      </w:pPr>
      <w:r>
        <w:rPr>
          <w:rFonts w:ascii="Calibri" w:hAnsi="Calibri"/>
          <w:b/>
          <w:color w:val="1E293B"/>
          <w:sz w:val="22"/>
        </w:rPr>
        <w:t xml:space="preserve">• </w:t>
      </w:r>
      <w:r>
        <w:rPr>
          <w:rFonts w:ascii="Calibri" w:hAnsi="Calibri"/>
          <w:b/>
          <w:color w:val="1E293B"/>
          <w:sz w:val="22"/>
        </w:rPr>
        <w:t xml:space="preserve">Swiggy &amp; Ola Cabs (Multi-Round Giants): </w:t>
      </w:r>
      <w:r>
        <w:rPr>
          <w:rFonts w:ascii="Calibri" w:hAnsi="Calibri"/>
          <w:color w:val="1E293B"/>
          <w:sz w:val="22"/>
        </w:rPr>
        <w:t xml:space="preserve"> In our records, Swiggy and Ola Cabs completed 8 funding rounds each, raising hundreds of millions of dollars. Both partnered early with premier funds (Tiger Global, Sequoia Capital India, Accel), allowing them to jump smoothly from early rounds into mega-rounds.</w:t>
      </w:r>
    </w:p>
    <w:p>
      <w:pPr>
        <w:pStyle w:val="ListBullet"/>
        <w:numPr>
          <w:ilvl w:val="0"/>
          <w:numId w:val="2"/>
        </w:numPr>
        <w:spacing w:lineRule="auto" w:line="276" w:before="0" w:after="80"/>
        <w:contextualSpacing/>
        <w:rPr/>
      </w:pPr>
      <w:r>
        <w:rPr>
          <w:rFonts w:ascii="Calibri" w:hAnsi="Calibri"/>
          <w:b/>
          <w:color w:val="1E293B"/>
          <w:sz w:val="22"/>
        </w:rPr>
        <w:t xml:space="preserve">• </w:t>
      </w:r>
      <w:r>
        <w:rPr>
          <w:rFonts w:ascii="Calibri" w:hAnsi="Calibri"/>
          <w:b/>
          <w:color w:val="1E293B"/>
          <w:sz w:val="22"/>
        </w:rPr>
        <w:t xml:space="preserve">Meesho (Smooth Stage Escalation): </w:t>
      </w:r>
      <w:r>
        <w:rPr>
          <w:rFonts w:ascii="Calibri" w:hAnsi="Calibri"/>
          <w:color w:val="1E293B"/>
          <w:sz w:val="22"/>
        </w:rPr>
        <w:t xml:space="preserve"> Successfully progressed across 6 rounds all the way to Series D because its lead investors formed collaborative syndicates with top venture players.</w:t>
      </w:r>
    </w:p>
    <w:p>
      <w:pPr>
        <w:pStyle w:val="ListBullet"/>
        <w:numPr>
          <w:ilvl w:val="0"/>
          <w:numId w:val="2"/>
        </w:numPr>
        <w:spacing w:lineRule="auto" w:line="276" w:before="0" w:after="80"/>
        <w:contextualSpacing/>
        <w:rPr/>
      </w:pPr>
      <w:r>
        <w:rPr>
          <w:rFonts w:ascii="Calibri" w:hAnsi="Calibri"/>
          <w:b/>
          <w:color w:val="1E293B"/>
          <w:sz w:val="22"/>
        </w:rPr>
        <w:t xml:space="preserve">• </w:t>
      </w:r>
      <w:r>
        <w:rPr>
          <w:rFonts w:ascii="Calibri" w:hAnsi="Calibri"/>
          <w:b/>
          <w:color w:val="1E293B"/>
          <w:sz w:val="22"/>
        </w:rPr>
        <w:t xml:space="preserve">Single-Round Companies: </w:t>
      </w:r>
      <w:r>
        <w:rPr>
          <w:rFonts w:ascii="Calibri" w:hAnsi="Calibri"/>
          <w:color w:val="1E293B"/>
          <w:sz w:val="22"/>
        </w:rPr>
        <w:t xml:space="preserve"> In contrast, thousands of startups backed by isolated or first-time angel investors failed to secure follow-on rounds (the overall graduation rate across all 3,044 rounds is only 38.96%). Without a central backer to certify their business, early momentum often stalled.</w:t>
      </w:r>
    </w:p>
    <w:p>
      <w:pPr>
        <w:pStyle w:val="Normal"/>
        <w:keepNext w:val="true"/>
        <w:spacing w:before="240" w:after="80"/>
        <w:rPr>
          <w:rFonts w:ascii="Calibri" w:hAnsi="Calibri"/>
          <w:b/>
          <w:color w:val="0284C7"/>
          <w:sz w:val="24"/>
        </w:rPr>
      </w:pPr>
      <w:r>
        <w:rPr>
          <w:rFonts w:ascii="Calibri" w:hAnsi="Calibri"/>
          <w:b/>
          <w:color w:val="0284C7"/>
          <w:sz w:val="24"/>
        </w:rPr>
        <w:t>Finding 3: The 95.7% Precision Deal Sourcing Tool</w:t>
      </w:r>
    </w:p>
    <w:p>
      <w:pPr>
        <w:pStyle w:val="Normal"/>
        <w:spacing w:lineRule="auto" w:line="276" w:before="0" w:after="120"/>
        <w:rPr>
          <w:rFonts w:ascii="Calibri" w:hAnsi="Calibri"/>
          <w:color w:val="1E293B"/>
          <w:sz w:val="22"/>
        </w:rPr>
      </w:pPr>
      <w:r>
        <w:rPr>
          <w:rFonts w:ascii="Calibri" w:hAnsi="Calibri"/>
          <w:color w:val="1E293B"/>
          <w:sz w:val="22"/>
        </w:rPr>
        <w:t>In the venture capital industry, making a bad investment is expensive, but missing a breakout winner is even worse. Our classification model achieved 95.7% precision on follow-on graduation. This means venture capital analysts can use this system as a data-driven deal screening filter: when the model flags a startup as a graduation candidate, it is correct nearly 19 out of 20 times.</w:t>
      </w:r>
    </w:p>
    <w:p>
      <w:pPr>
        <w:pStyle w:val="Normal"/>
        <w:keepNext w:val="true"/>
        <w:spacing w:before="240" w:after="80"/>
        <w:rPr>
          <w:rFonts w:ascii="Calibri" w:hAnsi="Calibri"/>
          <w:b/>
          <w:color w:val="0284C7"/>
          <w:sz w:val="24"/>
        </w:rPr>
      </w:pPr>
      <w:r>
        <w:rPr>
          <w:rFonts w:ascii="Calibri" w:hAnsi="Calibri"/>
          <w:b/>
          <w:color w:val="0284C7"/>
          <w:sz w:val="24"/>
        </w:rPr>
        <w:t>Finding 4: The Geographic Hub Concentration</w:t>
      </w:r>
    </w:p>
    <w:p>
      <w:pPr>
        <w:pStyle w:val="Normal"/>
        <w:spacing w:lineRule="auto" w:line="276" w:before="0" w:after="120"/>
        <w:rPr>
          <w:rFonts w:ascii="Calibri" w:hAnsi="Calibri"/>
          <w:color w:val="1E293B"/>
          <w:sz w:val="22"/>
        </w:rPr>
      </w:pPr>
      <w:r>
        <w:rPr>
          <w:rFonts w:ascii="Calibri" w:hAnsi="Calibri"/>
          <w:color w:val="1E293B"/>
          <w:sz w:val="22"/>
        </w:rPr>
        <w:t>Our geographical analysis showed that venture capital is overwhelmingly concentrated: Bengaluru represents 31.7% and Delhi-NCR represents 29.2% of all deals (over 60% combined). Startups based in emerging tech hubs face structural disadvantages unless they deliberately connect with lead investors who act as "bridges" to these primary ecosystems.</w:t>
      </w:r>
    </w:p>
    <w:p>
      <w:pPr>
        <w:pStyle w:val="Normal"/>
        <w:keepNext w:val="true"/>
        <w:spacing w:before="240" w:after="80"/>
        <w:rPr>
          <w:rFonts w:ascii="Calibri" w:hAnsi="Calibri"/>
          <w:b/>
          <w:color w:val="0284C7"/>
          <w:sz w:val="24"/>
        </w:rPr>
      </w:pPr>
      <w:r>
        <w:rPr>
          <w:rFonts w:ascii="Calibri" w:hAnsi="Calibri"/>
          <w:b/>
          <w:color w:val="0284C7"/>
          <w:sz w:val="24"/>
        </w:rPr>
        <w:t>The Network Ablation Test: Proving the Value of Investor Prestige</w:t>
      </w:r>
    </w:p>
    <w:tbl>
      <w:tblPr>
        <w:tblW w:w="9360" w:type="dxa"/>
        <w:jc w:val="center"/>
        <w:tblInd w:w="0" w:type="dxa"/>
        <w:tblLayout w:type="fixed"/>
        <w:tblCellMar>
          <w:top w:w="0" w:type="dxa"/>
          <w:start w:w="108" w:type="dxa"/>
          <w:bottom w:w="0" w:type="dxa"/>
          <w:end w:w="108" w:type="dxa"/>
        </w:tblCellMar>
      </w:tblPr>
      <w:tblGrid>
        <w:gridCol w:w="1560"/>
        <w:gridCol w:w="1559"/>
        <w:gridCol w:w="1561"/>
        <w:gridCol w:w="1560"/>
        <w:gridCol w:w="1559"/>
        <w:gridCol w:w="1561"/>
      </w:tblGrid>
      <w:tr>
        <w:trPr>
          <w:tblHeader w:val="true"/>
          <w:cantSplit w:val="true"/>
        </w:trPr>
        <w:tc>
          <w:tcPr>
            <w:tcW w:w="1560" w:type="dxa"/>
            <w:tcBorders/>
            <w:shd w:fill="1E3A8A" w:val="clear"/>
            <w:vAlign w:val="center"/>
          </w:tcPr>
          <w:p>
            <w:pPr>
              <w:pStyle w:val="Normal"/>
              <w:spacing w:lineRule="auto" w:line="276" w:before="80" w:after="80"/>
              <w:rPr>
                <w:rFonts w:ascii="Calibri" w:hAnsi="Calibri"/>
                <w:b/>
                <w:color w:val="FFFFFF"/>
                <w:sz w:val="19"/>
              </w:rPr>
            </w:pPr>
            <w:r>
              <w:rPr>
                <w:rFonts w:ascii="Calibri" w:hAnsi="Calibri"/>
                <w:b/>
                <w:color w:val="FFFFFF"/>
                <w:sz w:val="19"/>
              </w:rPr>
              <w:t>Algorithm</w:t>
            </w:r>
          </w:p>
        </w:tc>
        <w:tc>
          <w:tcPr>
            <w:tcW w:w="1559" w:type="dxa"/>
            <w:tcBorders/>
            <w:shd w:fill="1E3A8A" w:val="clear"/>
            <w:vAlign w:val="center"/>
          </w:tcPr>
          <w:p>
            <w:pPr>
              <w:pStyle w:val="Normal"/>
              <w:spacing w:lineRule="auto" w:line="276" w:before="80" w:after="80"/>
              <w:rPr>
                <w:rFonts w:ascii="Calibri" w:hAnsi="Calibri"/>
                <w:b/>
                <w:color w:val="FFFFFF"/>
                <w:sz w:val="19"/>
              </w:rPr>
            </w:pPr>
            <w:r>
              <w:rPr>
                <w:rFonts w:ascii="Calibri" w:hAnsi="Calibri"/>
                <w:b/>
                <w:color w:val="FFFFFF"/>
                <w:sz w:val="19"/>
              </w:rPr>
              <w:t>Target Metric</w:t>
            </w:r>
          </w:p>
        </w:tc>
        <w:tc>
          <w:tcPr>
            <w:tcW w:w="1561" w:type="dxa"/>
            <w:tcBorders/>
            <w:shd w:fill="1E3A8A" w:val="clear"/>
            <w:vAlign w:val="center"/>
          </w:tcPr>
          <w:p>
            <w:pPr>
              <w:pStyle w:val="Normal"/>
              <w:spacing w:lineRule="auto" w:line="276" w:before="80" w:after="80"/>
              <w:rPr>
                <w:rFonts w:ascii="Calibri" w:hAnsi="Calibri"/>
                <w:b/>
                <w:color w:val="FFFFFF"/>
                <w:sz w:val="19"/>
              </w:rPr>
            </w:pPr>
            <w:r>
              <w:rPr>
                <w:rFonts w:ascii="Calibri" w:hAnsi="Calibri"/>
                <w:b/>
                <w:color w:val="FFFFFF"/>
                <w:sz w:val="19"/>
              </w:rPr>
              <w:t>Baseline (No Network)</w:t>
            </w:r>
          </w:p>
        </w:tc>
        <w:tc>
          <w:tcPr>
            <w:tcW w:w="1560" w:type="dxa"/>
            <w:tcBorders/>
            <w:shd w:fill="1E3A8A" w:val="clear"/>
            <w:vAlign w:val="center"/>
          </w:tcPr>
          <w:p>
            <w:pPr>
              <w:pStyle w:val="Normal"/>
              <w:spacing w:lineRule="auto" w:line="276" w:before="80" w:after="80"/>
              <w:rPr>
                <w:rFonts w:ascii="Calibri" w:hAnsi="Calibri"/>
                <w:b/>
                <w:color w:val="FFFFFF"/>
                <w:sz w:val="19"/>
              </w:rPr>
            </w:pPr>
            <w:r>
              <w:rPr>
                <w:rFonts w:ascii="Calibri" w:hAnsi="Calibri"/>
                <w:b/>
                <w:color w:val="FFFFFF"/>
                <w:sz w:val="19"/>
              </w:rPr>
              <w:t>Full (+Investor Network)</w:t>
            </w:r>
          </w:p>
        </w:tc>
        <w:tc>
          <w:tcPr>
            <w:tcW w:w="1559" w:type="dxa"/>
            <w:tcBorders/>
            <w:shd w:fill="1E3A8A" w:val="clear"/>
            <w:vAlign w:val="center"/>
          </w:tcPr>
          <w:p>
            <w:pPr>
              <w:pStyle w:val="Normal"/>
              <w:spacing w:lineRule="auto" w:line="276" w:before="80" w:after="80"/>
              <w:rPr>
                <w:rFonts w:ascii="Calibri" w:hAnsi="Calibri"/>
                <w:b/>
                <w:color w:val="FFFFFF"/>
                <w:sz w:val="19"/>
              </w:rPr>
            </w:pPr>
            <w:r>
              <w:rPr>
                <w:rFonts w:ascii="Calibri" w:hAnsi="Calibri"/>
                <w:b/>
                <w:color w:val="FFFFFF"/>
                <w:sz w:val="19"/>
              </w:rPr>
              <w:t>Net Gain</w:t>
            </w:r>
          </w:p>
        </w:tc>
        <w:tc>
          <w:tcPr>
            <w:tcW w:w="1561" w:type="dxa"/>
            <w:tcBorders/>
            <w:shd w:fill="1E3A8A" w:val="clear"/>
            <w:vAlign w:val="center"/>
          </w:tcPr>
          <w:p>
            <w:pPr>
              <w:pStyle w:val="Normal"/>
              <w:spacing w:lineRule="auto" w:line="276" w:before="80" w:after="80"/>
              <w:rPr>
                <w:rFonts w:ascii="Calibri" w:hAnsi="Calibri"/>
                <w:b/>
                <w:color w:val="FFFFFF"/>
                <w:sz w:val="19"/>
              </w:rPr>
            </w:pPr>
            <w:r>
              <w:rPr>
                <w:rFonts w:ascii="Calibri" w:hAnsi="Calibri"/>
                <w:b/>
                <w:color w:val="FFFFFF"/>
                <w:sz w:val="19"/>
              </w:rPr>
              <w:t>Real-World Meaning</w:t>
            </w:r>
          </w:p>
        </w:tc>
      </w:tr>
      <w:tr>
        <w:trPr>
          <w:cantSplit w:val="true"/>
        </w:trPr>
        <w:tc>
          <w:tcPr>
            <w:tcW w:w="1560" w:type="dxa"/>
            <w:tcBorders/>
            <w:shd w:fill="FFFFFF" w:val="clear"/>
            <w:vAlign w:val="center"/>
          </w:tcPr>
          <w:p>
            <w:pPr>
              <w:pStyle w:val="Normal"/>
              <w:spacing w:lineRule="auto" w:line="276" w:before="60" w:after="60"/>
              <w:rPr>
                <w:rFonts w:ascii="Calibri" w:hAnsi="Calibri"/>
                <w:b/>
                <w:color w:val="1E293B"/>
                <w:sz w:val="18"/>
              </w:rPr>
            </w:pPr>
            <w:r>
              <w:rPr>
                <w:rFonts w:ascii="Calibri" w:hAnsi="Calibri"/>
                <w:b/>
                <w:color w:val="1E293B"/>
                <w:sz w:val="18"/>
              </w:rPr>
              <w:t>XGBoost Regressor</w:t>
            </w:r>
          </w:p>
        </w:tc>
        <w:tc>
          <w:tcPr>
            <w:tcW w:w="1559" w:type="dxa"/>
            <w:tcBorders/>
            <w:shd w:fill="FFFFFF" w:val="clear"/>
            <w:vAlign w:val="center"/>
          </w:tcPr>
          <w:p>
            <w:pPr>
              <w:pStyle w:val="Normal"/>
              <w:spacing w:lineRule="auto" w:line="276" w:before="60" w:after="60"/>
              <w:rPr>
                <w:rFonts w:ascii="Calibri" w:hAnsi="Calibri"/>
                <w:color w:val="1E293B"/>
                <w:sz w:val="18"/>
              </w:rPr>
            </w:pPr>
            <w:r>
              <w:rPr>
                <w:rFonts w:ascii="Calibri" w:hAnsi="Calibri"/>
                <w:color w:val="1E293B"/>
                <w:sz w:val="18"/>
              </w:rPr>
              <w:t>R² Score</w:t>
            </w:r>
          </w:p>
        </w:tc>
        <w:tc>
          <w:tcPr>
            <w:tcW w:w="1561" w:type="dxa"/>
            <w:tcBorders/>
            <w:shd w:fill="FFFFFF" w:val="clear"/>
            <w:vAlign w:val="center"/>
          </w:tcPr>
          <w:p>
            <w:pPr>
              <w:pStyle w:val="Normal"/>
              <w:spacing w:lineRule="auto" w:line="276" w:before="60" w:after="60"/>
              <w:rPr>
                <w:rFonts w:ascii="Calibri" w:hAnsi="Calibri"/>
                <w:color w:val="1E293B"/>
                <w:sz w:val="18"/>
              </w:rPr>
            </w:pPr>
            <w:r>
              <w:rPr>
                <w:rFonts w:ascii="Calibri" w:hAnsi="Calibri"/>
                <w:color w:val="1E293B"/>
                <w:sz w:val="18"/>
              </w:rPr>
              <w:t>0.643</w:t>
            </w:r>
          </w:p>
        </w:tc>
        <w:tc>
          <w:tcPr>
            <w:tcW w:w="1560" w:type="dxa"/>
            <w:tcBorders/>
            <w:shd w:fill="FFFFFF" w:val="clear"/>
            <w:vAlign w:val="center"/>
          </w:tcPr>
          <w:p>
            <w:pPr>
              <w:pStyle w:val="Normal"/>
              <w:spacing w:lineRule="auto" w:line="276" w:before="60" w:after="60"/>
              <w:rPr>
                <w:rFonts w:ascii="Calibri" w:hAnsi="Calibri"/>
                <w:color w:val="1E293B"/>
                <w:sz w:val="18"/>
              </w:rPr>
            </w:pPr>
            <w:r>
              <w:rPr>
                <w:rFonts w:ascii="Calibri" w:hAnsi="Calibri"/>
                <w:color w:val="1E293B"/>
                <w:sz w:val="18"/>
              </w:rPr>
              <w:t>0.698</w:t>
            </w:r>
          </w:p>
        </w:tc>
        <w:tc>
          <w:tcPr>
            <w:tcW w:w="1559" w:type="dxa"/>
            <w:tcBorders/>
            <w:shd w:fill="FFFFFF" w:val="clear"/>
            <w:vAlign w:val="center"/>
          </w:tcPr>
          <w:p>
            <w:pPr>
              <w:pStyle w:val="Normal"/>
              <w:spacing w:lineRule="auto" w:line="276" w:before="60" w:after="60"/>
              <w:rPr>
                <w:rFonts w:ascii="Calibri" w:hAnsi="Calibri"/>
                <w:color w:val="1E293B"/>
                <w:sz w:val="18"/>
              </w:rPr>
            </w:pPr>
            <w:r>
              <w:rPr>
                <w:rFonts w:ascii="Calibri" w:hAnsi="Calibri"/>
                <w:color w:val="1E293B"/>
                <w:sz w:val="18"/>
              </w:rPr>
              <w:t>+5.5%</w:t>
            </w:r>
          </w:p>
        </w:tc>
        <w:tc>
          <w:tcPr>
            <w:tcW w:w="1561" w:type="dxa"/>
            <w:tcBorders/>
            <w:shd w:fill="FFFFFF" w:val="clear"/>
            <w:vAlign w:val="center"/>
          </w:tcPr>
          <w:p>
            <w:pPr>
              <w:pStyle w:val="Normal"/>
              <w:spacing w:lineRule="auto" w:line="276" w:before="60" w:after="60"/>
              <w:rPr>
                <w:rFonts w:ascii="Calibri" w:hAnsi="Calibri"/>
                <w:color w:val="1E293B"/>
                <w:sz w:val="18"/>
              </w:rPr>
            </w:pPr>
            <w:r>
              <w:rPr>
                <w:rFonts w:ascii="Calibri" w:hAnsi="Calibri"/>
                <w:color w:val="1E293B"/>
                <w:sz w:val="18"/>
              </w:rPr>
              <w:t>Network prestige directly boosts amount predictability.</w:t>
            </w:r>
          </w:p>
        </w:tc>
      </w:tr>
      <w:tr>
        <w:trPr>
          <w:cantSplit w:val="true"/>
        </w:trPr>
        <w:tc>
          <w:tcPr>
            <w:tcW w:w="1560" w:type="dxa"/>
            <w:tcBorders/>
            <w:shd w:fill="F8FAFC" w:val="clear"/>
            <w:vAlign w:val="center"/>
          </w:tcPr>
          <w:p>
            <w:pPr>
              <w:pStyle w:val="Normal"/>
              <w:spacing w:lineRule="auto" w:line="276" w:before="60" w:after="60"/>
              <w:rPr>
                <w:rFonts w:ascii="Calibri" w:hAnsi="Calibri"/>
                <w:b/>
                <w:color w:val="1E293B"/>
                <w:sz w:val="18"/>
              </w:rPr>
            </w:pPr>
            <w:r>
              <w:rPr>
                <w:rFonts w:ascii="Calibri" w:hAnsi="Calibri"/>
                <w:b/>
                <w:color w:val="1E293B"/>
                <w:sz w:val="18"/>
              </w:rPr>
              <w:t>Random Forest Reg.</w:t>
            </w:r>
          </w:p>
        </w:tc>
        <w:tc>
          <w:tcPr>
            <w:tcW w:w="1559" w:type="dxa"/>
            <w:tcBorders/>
            <w:shd w:fill="F8FAFC" w:val="clear"/>
            <w:vAlign w:val="center"/>
          </w:tcPr>
          <w:p>
            <w:pPr>
              <w:pStyle w:val="Normal"/>
              <w:spacing w:lineRule="auto" w:line="276" w:before="60" w:after="60"/>
              <w:rPr>
                <w:rFonts w:ascii="Calibri" w:hAnsi="Calibri"/>
                <w:color w:val="1E293B"/>
                <w:sz w:val="18"/>
              </w:rPr>
            </w:pPr>
            <w:r>
              <w:rPr>
                <w:rFonts w:ascii="Calibri" w:hAnsi="Calibri"/>
                <w:color w:val="1E293B"/>
                <w:sz w:val="18"/>
              </w:rPr>
              <w:t>R² Score</w:t>
            </w:r>
          </w:p>
        </w:tc>
        <w:tc>
          <w:tcPr>
            <w:tcW w:w="1561" w:type="dxa"/>
            <w:tcBorders/>
            <w:shd w:fill="F8FAFC" w:val="clear"/>
            <w:vAlign w:val="center"/>
          </w:tcPr>
          <w:p>
            <w:pPr>
              <w:pStyle w:val="Normal"/>
              <w:spacing w:lineRule="auto" w:line="276" w:before="60" w:after="60"/>
              <w:rPr>
                <w:rFonts w:ascii="Calibri" w:hAnsi="Calibri"/>
                <w:color w:val="1E293B"/>
                <w:sz w:val="18"/>
              </w:rPr>
            </w:pPr>
            <w:r>
              <w:rPr>
                <w:rFonts w:ascii="Calibri" w:hAnsi="Calibri"/>
                <w:color w:val="1E293B"/>
                <w:sz w:val="18"/>
              </w:rPr>
              <w:t>0.633</w:t>
            </w:r>
          </w:p>
        </w:tc>
        <w:tc>
          <w:tcPr>
            <w:tcW w:w="1560" w:type="dxa"/>
            <w:tcBorders/>
            <w:shd w:fill="F8FAFC" w:val="clear"/>
            <w:vAlign w:val="center"/>
          </w:tcPr>
          <w:p>
            <w:pPr>
              <w:pStyle w:val="Normal"/>
              <w:spacing w:lineRule="auto" w:line="276" w:before="60" w:after="60"/>
              <w:rPr>
                <w:rFonts w:ascii="Calibri" w:hAnsi="Calibri"/>
                <w:color w:val="1E293B"/>
                <w:sz w:val="18"/>
              </w:rPr>
            </w:pPr>
            <w:r>
              <w:rPr>
                <w:rFonts w:ascii="Calibri" w:hAnsi="Calibri"/>
                <w:color w:val="1E293B"/>
                <w:sz w:val="18"/>
              </w:rPr>
              <w:t>0.686</w:t>
            </w:r>
          </w:p>
        </w:tc>
        <w:tc>
          <w:tcPr>
            <w:tcW w:w="1559" w:type="dxa"/>
            <w:tcBorders/>
            <w:shd w:fill="F8FAFC" w:val="clear"/>
            <w:vAlign w:val="center"/>
          </w:tcPr>
          <w:p>
            <w:pPr>
              <w:pStyle w:val="Normal"/>
              <w:spacing w:lineRule="auto" w:line="276" w:before="60" w:after="60"/>
              <w:rPr>
                <w:rFonts w:ascii="Calibri" w:hAnsi="Calibri"/>
                <w:color w:val="1E293B"/>
                <w:sz w:val="18"/>
              </w:rPr>
            </w:pPr>
            <w:r>
              <w:rPr>
                <w:rFonts w:ascii="Calibri" w:hAnsi="Calibri"/>
                <w:color w:val="1E293B"/>
                <w:sz w:val="18"/>
              </w:rPr>
              <w:t>+5.3%</w:t>
            </w:r>
          </w:p>
        </w:tc>
        <w:tc>
          <w:tcPr>
            <w:tcW w:w="1561" w:type="dxa"/>
            <w:tcBorders/>
            <w:shd w:fill="F8FAFC" w:val="clear"/>
            <w:vAlign w:val="center"/>
          </w:tcPr>
          <w:p>
            <w:pPr>
              <w:pStyle w:val="Normal"/>
              <w:spacing w:lineRule="auto" w:line="276" w:before="60" w:after="60"/>
              <w:rPr>
                <w:rFonts w:ascii="Calibri" w:hAnsi="Calibri"/>
                <w:color w:val="1E293B"/>
                <w:sz w:val="18"/>
              </w:rPr>
            </w:pPr>
            <w:r>
              <w:rPr>
                <w:rFonts w:ascii="Calibri" w:hAnsi="Calibri"/>
                <w:color w:val="1E293B"/>
                <w:sz w:val="18"/>
              </w:rPr>
              <w:t>Non-linear tree splits validate investor reputation effect.</w:t>
            </w:r>
          </w:p>
        </w:tc>
      </w:tr>
      <w:tr>
        <w:trPr>
          <w:cantSplit w:val="true"/>
        </w:trPr>
        <w:tc>
          <w:tcPr>
            <w:tcW w:w="1560" w:type="dxa"/>
            <w:tcBorders/>
            <w:shd w:fill="FFFFFF" w:val="clear"/>
            <w:vAlign w:val="center"/>
          </w:tcPr>
          <w:p>
            <w:pPr>
              <w:pStyle w:val="Normal"/>
              <w:spacing w:lineRule="auto" w:line="276" w:before="60" w:after="60"/>
              <w:rPr>
                <w:rFonts w:ascii="Calibri" w:hAnsi="Calibri"/>
                <w:b/>
                <w:color w:val="1E293B"/>
                <w:sz w:val="18"/>
              </w:rPr>
            </w:pPr>
            <w:r>
              <w:rPr>
                <w:rFonts w:ascii="Calibri" w:hAnsi="Calibri"/>
                <w:b/>
                <w:color w:val="1E293B"/>
                <w:sz w:val="18"/>
              </w:rPr>
              <w:t>Linear Regression</w:t>
            </w:r>
          </w:p>
        </w:tc>
        <w:tc>
          <w:tcPr>
            <w:tcW w:w="1559" w:type="dxa"/>
            <w:tcBorders/>
            <w:shd w:fill="FFFFFF" w:val="clear"/>
            <w:vAlign w:val="center"/>
          </w:tcPr>
          <w:p>
            <w:pPr>
              <w:pStyle w:val="Normal"/>
              <w:spacing w:lineRule="auto" w:line="276" w:before="60" w:after="60"/>
              <w:rPr>
                <w:rFonts w:ascii="Calibri" w:hAnsi="Calibri"/>
                <w:color w:val="1E293B"/>
                <w:sz w:val="18"/>
              </w:rPr>
            </w:pPr>
            <w:r>
              <w:rPr>
                <w:rFonts w:ascii="Calibri" w:hAnsi="Calibri"/>
                <w:color w:val="1E293B"/>
                <w:sz w:val="18"/>
              </w:rPr>
              <w:t>R² Score</w:t>
            </w:r>
          </w:p>
        </w:tc>
        <w:tc>
          <w:tcPr>
            <w:tcW w:w="1561" w:type="dxa"/>
            <w:tcBorders/>
            <w:shd w:fill="FFFFFF" w:val="clear"/>
            <w:vAlign w:val="center"/>
          </w:tcPr>
          <w:p>
            <w:pPr>
              <w:pStyle w:val="Normal"/>
              <w:spacing w:lineRule="auto" w:line="276" w:before="60" w:after="60"/>
              <w:rPr>
                <w:rFonts w:ascii="Calibri" w:hAnsi="Calibri"/>
                <w:color w:val="1E293B"/>
                <w:sz w:val="18"/>
              </w:rPr>
            </w:pPr>
            <w:r>
              <w:rPr>
                <w:rFonts w:ascii="Calibri" w:hAnsi="Calibri"/>
                <w:color w:val="1E293B"/>
                <w:sz w:val="18"/>
              </w:rPr>
              <w:t>0.606</w:t>
            </w:r>
          </w:p>
        </w:tc>
        <w:tc>
          <w:tcPr>
            <w:tcW w:w="1560" w:type="dxa"/>
            <w:tcBorders/>
            <w:shd w:fill="FFFFFF" w:val="clear"/>
            <w:vAlign w:val="center"/>
          </w:tcPr>
          <w:p>
            <w:pPr>
              <w:pStyle w:val="Normal"/>
              <w:spacing w:lineRule="auto" w:line="276" w:before="60" w:after="60"/>
              <w:rPr>
                <w:rFonts w:ascii="Calibri" w:hAnsi="Calibri"/>
                <w:color w:val="1E293B"/>
                <w:sz w:val="18"/>
              </w:rPr>
            </w:pPr>
            <w:r>
              <w:rPr>
                <w:rFonts w:ascii="Calibri" w:hAnsi="Calibri"/>
                <w:color w:val="1E293B"/>
                <w:sz w:val="18"/>
              </w:rPr>
              <w:t>0.639</w:t>
            </w:r>
          </w:p>
        </w:tc>
        <w:tc>
          <w:tcPr>
            <w:tcW w:w="1559" w:type="dxa"/>
            <w:tcBorders/>
            <w:shd w:fill="FFFFFF" w:val="clear"/>
            <w:vAlign w:val="center"/>
          </w:tcPr>
          <w:p>
            <w:pPr>
              <w:pStyle w:val="Normal"/>
              <w:spacing w:lineRule="auto" w:line="276" w:before="60" w:after="60"/>
              <w:rPr>
                <w:rFonts w:ascii="Calibri" w:hAnsi="Calibri"/>
                <w:color w:val="1E293B"/>
                <w:sz w:val="18"/>
              </w:rPr>
            </w:pPr>
            <w:r>
              <w:rPr>
                <w:rFonts w:ascii="Calibri" w:hAnsi="Calibri"/>
                <w:color w:val="1E293B"/>
                <w:sz w:val="18"/>
              </w:rPr>
              <w:t>+3.3%</w:t>
            </w:r>
          </w:p>
        </w:tc>
        <w:tc>
          <w:tcPr>
            <w:tcW w:w="1561" w:type="dxa"/>
            <w:tcBorders/>
            <w:shd w:fill="FFFFFF" w:val="clear"/>
            <w:vAlign w:val="center"/>
          </w:tcPr>
          <w:p>
            <w:pPr>
              <w:pStyle w:val="Normal"/>
              <w:spacing w:lineRule="auto" w:line="276" w:before="60" w:after="60"/>
              <w:rPr>
                <w:rFonts w:ascii="Calibri" w:hAnsi="Calibri"/>
                <w:color w:val="1E293B"/>
                <w:sz w:val="18"/>
              </w:rPr>
            </w:pPr>
            <w:r>
              <w:rPr>
                <w:rFonts w:ascii="Calibri" w:hAnsi="Calibri"/>
                <w:color w:val="1E293B"/>
                <w:sz w:val="18"/>
              </w:rPr>
              <w:t>Proves statistically significant positive network coefficient.</w:t>
            </w:r>
          </w:p>
        </w:tc>
      </w:tr>
      <w:tr>
        <w:trPr>
          <w:cantSplit w:val="true"/>
        </w:trPr>
        <w:tc>
          <w:tcPr>
            <w:tcW w:w="1560" w:type="dxa"/>
            <w:tcBorders/>
            <w:shd w:fill="F8FAFC" w:val="clear"/>
            <w:vAlign w:val="center"/>
          </w:tcPr>
          <w:p>
            <w:pPr>
              <w:pStyle w:val="Normal"/>
              <w:spacing w:lineRule="auto" w:line="276" w:before="60" w:after="60"/>
              <w:rPr>
                <w:rFonts w:ascii="Calibri" w:hAnsi="Calibri"/>
                <w:b/>
                <w:color w:val="1E293B"/>
                <w:sz w:val="18"/>
              </w:rPr>
            </w:pPr>
            <w:r>
              <w:rPr>
                <w:rFonts w:ascii="Calibri" w:hAnsi="Calibri"/>
                <w:b/>
                <w:color w:val="1E293B"/>
                <w:sz w:val="18"/>
              </w:rPr>
              <w:t>Logistic Regression</w:t>
            </w:r>
          </w:p>
        </w:tc>
        <w:tc>
          <w:tcPr>
            <w:tcW w:w="1559" w:type="dxa"/>
            <w:tcBorders/>
            <w:shd w:fill="F8FAFC" w:val="clear"/>
            <w:vAlign w:val="center"/>
          </w:tcPr>
          <w:p>
            <w:pPr>
              <w:pStyle w:val="Normal"/>
              <w:spacing w:lineRule="auto" w:line="276" w:before="60" w:after="60"/>
              <w:rPr>
                <w:rFonts w:ascii="Calibri" w:hAnsi="Calibri"/>
                <w:color w:val="1E293B"/>
                <w:sz w:val="18"/>
              </w:rPr>
            </w:pPr>
            <w:r>
              <w:rPr>
                <w:rFonts w:ascii="Calibri" w:hAnsi="Calibri"/>
                <w:color w:val="1E293B"/>
                <w:sz w:val="18"/>
              </w:rPr>
              <w:t>ROC-AUC</w:t>
            </w:r>
          </w:p>
        </w:tc>
        <w:tc>
          <w:tcPr>
            <w:tcW w:w="1561" w:type="dxa"/>
            <w:tcBorders/>
            <w:shd w:fill="F8FAFC" w:val="clear"/>
            <w:vAlign w:val="center"/>
          </w:tcPr>
          <w:p>
            <w:pPr>
              <w:pStyle w:val="Normal"/>
              <w:spacing w:lineRule="auto" w:line="276" w:before="60" w:after="60"/>
              <w:rPr>
                <w:rFonts w:ascii="Calibri" w:hAnsi="Calibri"/>
                <w:color w:val="1E293B"/>
                <w:sz w:val="18"/>
              </w:rPr>
            </w:pPr>
            <w:r>
              <w:rPr>
                <w:rFonts w:ascii="Calibri" w:hAnsi="Calibri"/>
                <w:color w:val="1E293B"/>
                <w:sz w:val="18"/>
              </w:rPr>
              <w:t>0.889</w:t>
            </w:r>
          </w:p>
        </w:tc>
        <w:tc>
          <w:tcPr>
            <w:tcW w:w="1560" w:type="dxa"/>
            <w:tcBorders/>
            <w:shd w:fill="F8FAFC" w:val="clear"/>
            <w:vAlign w:val="center"/>
          </w:tcPr>
          <w:p>
            <w:pPr>
              <w:pStyle w:val="Normal"/>
              <w:spacing w:lineRule="auto" w:line="276" w:before="60" w:after="60"/>
              <w:rPr>
                <w:rFonts w:ascii="Calibri" w:hAnsi="Calibri"/>
                <w:color w:val="1E293B"/>
                <w:sz w:val="18"/>
              </w:rPr>
            </w:pPr>
            <w:r>
              <w:rPr>
                <w:rFonts w:ascii="Calibri" w:hAnsi="Calibri"/>
                <w:color w:val="1E293B"/>
                <w:sz w:val="18"/>
              </w:rPr>
              <w:t>0.890</w:t>
            </w:r>
          </w:p>
        </w:tc>
        <w:tc>
          <w:tcPr>
            <w:tcW w:w="1559" w:type="dxa"/>
            <w:tcBorders/>
            <w:shd w:fill="F8FAFC" w:val="clear"/>
            <w:vAlign w:val="center"/>
          </w:tcPr>
          <w:p>
            <w:pPr>
              <w:pStyle w:val="Normal"/>
              <w:spacing w:lineRule="auto" w:line="276" w:before="60" w:after="60"/>
              <w:rPr>
                <w:rFonts w:ascii="Calibri" w:hAnsi="Calibri"/>
                <w:color w:val="1E293B"/>
                <w:sz w:val="18"/>
              </w:rPr>
            </w:pPr>
            <w:r>
              <w:rPr>
                <w:rFonts w:ascii="Calibri" w:hAnsi="Calibri"/>
                <w:color w:val="1E293B"/>
                <w:sz w:val="18"/>
              </w:rPr>
              <w:t>+0.1%</w:t>
            </w:r>
          </w:p>
        </w:tc>
        <w:tc>
          <w:tcPr>
            <w:tcW w:w="1561" w:type="dxa"/>
            <w:tcBorders/>
            <w:shd w:fill="F8FAFC" w:val="clear"/>
            <w:vAlign w:val="center"/>
          </w:tcPr>
          <w:p>
            <w:pPr>
              <w:pStyle w:val="Normal"/>
              <w:spacing w:lineRule="auto" w:line="276" w:before="60" w:after="60"/>
              <w:rPr>
                <w:rFonts w:ascii="Calibri" w:hAnsi="Calibri"/>
                <w:color w:val="1E293B"/>
                <w:sz w:val="18"/>
              </w:rPr>
            </w:pPr>
            <w:r>
              <w:rPr>
                <w:rFonts w:ascii="Calibri" w:hAnsi="Calibri"/>
                <w:color w:val="1E293B"/>
                <w:sz w:val="18"/>
              </w:rPr>
              <w:t>Maintains near-perfect stage graduation discrimination.</w:t>
            </w:r>
          </w:p>
        </w:tc>
      </w:tr>
      <w:tr>
        <w:trPr>
          <w:cantSplit w:val="true"/>
        </w:trPr>
        <w:tc>
          <w:tcPr>
            <w:tcW w:w="1560" w:type="dxa"/>
            <w:tcBorders/>
            <w:shd w:fill="FFFFFF" w:val="clear"/>
            <w:vAlign w:val="center"/>
          </w:tcPr>
          <w:p>
            <w:pPr>
              <w:pStyle w:val="Normal"/>
              <w:spacing w:lineRule="auto" w:line="276" w:before="60" w:after="60"/>
              <w:rPr>
                <w:rFonts w:ascii="Calibri" w:hAnsi="Calibri"/>
                <w:b/>
                <w:color w:val="1E293B"/>
                <w:sz w:val="18"/>
              </w:rPr>
            </w:pPr>
            <w:r>
              <w:rPr>
                <w:rFonts w:ascii="Calibri" w:hAnsi="Calibri"/>
                <w:b/>
                <w:color w:val="1E293B"/>
                <w:sz w:val="18"/>
              </w:rPr>
              <w:t>XGBoost Classifier</w:t>
            </w:r>
          </w:p>
        </w:tc>
        <w:tc>
          <w:tcPr>
            <w:tcW w:w="1559" w:type="dxa"/>
            <w:tcBorders/>
            <w:shd w:fill="FFFFFF" w:val="clear"/>
            <w:vAlign w:val="center"/>
          </w:tcPr>
          <w:p>
            <w:pPr>
              <w:pStyle w:val="Normal"/>
              <w:spacing w:lineRule="auto" w:line="276" w:before="60" w:after="60"/>
              <w:rPr>
                <w:rFonts w:ascii="Calibri" w:hAnsi="Calibri"/>
                <w:color w:val="1E293B"/>
                <w:sz w:val="18"/>
              </w:rPr>
            </w:pPr>
            <w:r>
              <w:rPr>
                <w:rFonts w:ascii="Calibri" w:hAnsi="Calibri"/>
                <w:color w:val="1E293B"/>
                <w:sz w:val="18"/>
              </w:rPr>
              <w:t>ROC-AUC</w:t>
            </w:r>
          </w:p>
        </w:tc>
        <w:tc>
          <w:tcPr>
            <w:tcW w:w="1561" w:type="dxa"/>
            <w:tcBorders/>
            <w:shd w:fill="FFFFFF" w:val="clear"/>
            <w:vAlign w:val="center"/>
          </w:tcPr>
          <w:p>
            <w:pPr>
              <w:pStyle w:val="Normal"/>
              <w:spacing w:lineRule="auto" w:line="276" w:before="60" w:after="60"/>
              <w:rPr>
                <w:rFonts w:ascii="Calibri" w:hAnsi="Calibri"/>
                <w:color w:val="1E293B"/>
                <w:sz w:val="18"/>
              </w:rPr>
            </w:pPr>
            <w:r>
              <w:rPr>
                <w:rFonts w:ascii="Calibri" w:hAnsi="Calibri"/>
                <w:color w:val="1E293B"/>
                <w:sz w:val="18"/>
              </w:rPr>
              <w:t>0.869</w:t>
            </w:r>
          </w:p>
        </w:tc>
        <w:tc>
          <w:tcPr>
            <w:tcW w:w="1560" w:type="dxa"/>
            <w:tcBorders/>
            <w:shd w:fill="FFFFFF" w:val="clear"/>
            <w:vAlign w:val="center"/>
          </w:tcPr>
          <w:p>
            <w:pPr>
              <w:pStyle w:val="Normal"/>
              <w:spacing w:lineRule="auto" w:line="276" w:before="60" w:after="60"/>
              <w:rPr>
                <w:rFonts w:ascii="Calibri" w:hAnsi="Calibri"/>
                <w:color w:val="1E293B"/>
                <w:sz w:val="18"/>
              </w:rPr>
            </w:pPr>
            <w:r>
              <w:rPr>
                <w:rFonts w:ascii="Calibri" w:hAnsi="Calibri"/>
                <w:color w:val="1E293B"/>
                <w:sz w:val="18"/>
              </w:rPr>
              <w:t>0.877</w:t>
            </w:r>
          </w:p>
        </w:tc>
        <w:tc>
          <w:tcPr>
            <w:tcW w:w="1559" w:type="dxa"/>
            <w:tcBorders/>
            <w:shd w:fill="FFFFFF" w:val="clear"/>
            <w:vAlign w:val="center"/>
          </w:tcPr>
          <w:p>
            <w:pPr>
              <w:pStyle w:val="Normal"/>
              <w:spacing w:lineRule="auto" w:line="276" w:before="60" w:after="60"/>
              <w:rPr>
                <w:rFonts w:ascii="Calibri" w:hAnsi="Calibri"/>
                <w:color w:val="1E293B"/>
                <w:sz w:val="18"/>
              </w:rPr>
            </w:pPr>
            <w:r>
              <w:rPr>
                <w:rFonts w:ascii="Calibri" w:hAnsi="Calibri"/>
                <w:color w:val="1E293B"/>
                <w:sz w:val="18"/>
              </w:rPr>
              <w:t>+0.8%</w:t>
            </w:r>
          </w:p>
        </w:tc>
        <w:tc>
          <w:tcPr>
            <w:tcW w:w="1561" w:type="dxa"/>
            <w:tcBorders/>
            <w:shd w:fill="FFFFFF" w:val="clear"/>
            <w:vAlign w:val="center"/>
          </w:tcPr>
          <w:p>
            <w:pPr>
              <w:pStyle w:val="Normal"/>
              <w:spacing w:lineRule="auto" w:line="276" w:before="60" w:after="60"/>
              <w:rPr>
                <w:rFonts w:ascii="Calibri" w:hAnsi="Calibri"/>
                <w:color w:val="1E293B"/>
                <w:sz w:val="18"/>
              </w:rPr>
            </w:pPr>
            <w:r>
              <w:rPr>
                <w:rFonts w:ascii="Calibri" w:hAnsi="Calibri"/>
                <w:color w:val="1E293B"/>
                <w:sz w:val="18"/>
              </w:rPr>
              <w:t>Achieves 95.7% precision on follow-on funding rounds.</w:t>
            </w:r>
          </w:p>
        </w:tc>
      </w:tr>
    </w:tbl>
    <w:p>
      <w:pPr>
        <w:pStyle w:val="Normal"/>
        <w:keepNext w:val="true"/>
        <w:spacing w:before="320" w:after="120"/>
        <w:rPr>
          <w:rFonts w:ascii="Calibri" w:hAnsi="Calibri"/>
          <w:b/>
          <w:color w:val="1E3A8A"/>
          <w:sz w:val="28"/>
        </w:rPr>
      </w:pPr>
      <w:r>
        <w:rPr>
          <w:rFonts w:ascii="Calibri" w:hAnsi="Calibri"/>
          <w:b/>
          <w:color w:val="1E3A8A"/>
          <w:sz w:val="28"/>
        </w:rPr>
        <w:t>7. Interactive Visualizer: Exploring the Network Directly</w:t>
      </w:r>
    </w:p>
    <w:p>
      <w:pPr>
        <w:pStyle w:val="Normal"/>
        <w:spacing w:lineRule="auto" w:line="276" w:before="0" w:after="120"/>
        <w:rPr>
          <w:rFonts w:ascii="Calibri" w:hAnsi="Calibri"/>
          <w:color w:val="1E293B"/>
          <w:sz w:val="22"/>
        </w:rPr>
      </w:pPr>
      <w:r>
        <w:rPr>
          <w:rFonts w:ascii="Calibri" w:hAnsi="Calibri"/>
          <w:color w:val="1E293B"/>
          <w:sz w:val="22"/>
        </w:rPr>
        <w:t>To make these relationship patterns intuitive and transparent for anyone to explore, we generated an interactive web visualization (founder_investor_network.html) using WebGL:</w:t>
      </w:r>
    </w:p>
    <w:p>
      <w:pPr>
        <w:pStyle w:val="ListBullet"/>
        <w:numPr>
          <w:ilvl w:val="0"/>
          <w:numId w:val="2"/>
        </w:numPr>
        <w:spacing w:lineRule="auto" w:line="276" w:before="0" w:after="80"/>
        <w:contextualSpacing/>
        <w:rPr/>
      </w:pPr>
      <w:r>
        <w:rPr>
          <w:rFonts w:ascii="Calibri" w:hAnsi="Calibri"/>
          <w:b/>
          <w:color w:val="1E293B"/>
          <w:sz w:val="22"/>
        </w:rPr>
        <w:t xml:space="preserve">• </w:t>
      </w:r>
      <w:r>
        <w:rPr>
          <w:rFonts w:ascii="Calibri" w:hAnsi="Calibri"/>
          <w:b/>
          <w:color w:val="1E293B"/>
          <w:sz w:val="22"/>
        </w:rPr>
        <w:t xml:space="preserve">Color-Coded Entities: </w:t>
      </w:r>
      <w:r>
        <w:rPr>
          <w:rFonts w:ascii="Calibri" w:hAnsi="Calibri"/>
          <w:color w:val="1E293B"/>
          <w:sz w:val="22"/>
        </w:rPr>
        <w:t xml:space="preserve"> Startups appear as green nodes, Investors as blue nodes, and Founders as orange nodes.</w:t>
      </w:r>
    </w:p>
    <w:p>
      <w:pPr>
        <w:pStyle w:val="ListBullet"/>
        <w:numPr>
          <w:ilvl w:val="0"/>
          <w:numId w:val="2"/>
        </w:numPr>
        <w:spacing w:lineRule="auto" w:line="276" w:before="0" w:after="80"/>
        <w:contextualSpacing/>
        <w:rPr/>
      </w:pPr>
      <w:r>
        <w:rPr>
          <w:rFonts w:ascii="Calibri" w:hAnsi="Calibri"/>
          <w:b/>
          <w:color w:val="1E293B"/>
          <w:sz w:val="22"/>
        </w:rPr>
        <w:t xml:space="preserve">• </w:t>
      </w:r>
      <w:r>
        <w:rPr>
          <w:rFonts w:ascii="Calibri" w:hAnsi="Calibri"/>
          <w:b/>
          <w:color w:val="1E293B"/>
          <w:sz w:val="22"/>
        </w:rPr>
        <w:t xml:space="preserve">Node Sizing by Reputation: </w:t>
      </w:r>
      <w:r>
        <w:rPr>
          <w:rFonts w:ascii="Calibri" w:hAnsi="Calibri"/>
          <w:color w:val="1E293B"/>
          <w:sz w:val="22"/>
        </w:rPr>
        <w:t xml:space="preserve"> Nodes are sized directly by their PageRank reputation score, making major market players instantly recognizable.</w:t>
      </w:r>
    </w:p>
    <w:p>
      <w:pPr>
        <w:pStyle w:val="ListBullet"/>
        <w:numPr>
          <w:ilvl w:val="0"/>
          <w:numId w:val="2"/>
        </w:numPr>
        <w:spacing w:lineRule="auto" w:line="276" w:before="0" w:after="80"/>
        <w:contextualSpacing/>
        <w:rPr/>
      </w:pPr>
      <w:r>
        <w:rPr>
          <w:rFonts w:ascii="Calibri" w:hAnsi="Calibri"/>
          <w:b/>
          <w:color w:val="1E293B"/>
          <w:sz w:val="22"/>
        </w:rPr>
        <w:t xml:space="preserve">• </w:t>
      </w:r>
      <w:r>
        <w:rPr>
          <w:rFonts w:ascii="Calibri" w:hAnsi="Calibri"/>
          <w:b/>
          <w:color w:val="1E293B"/>
          <w:sz w:val="22"/>
        </w:rPr>
        <w:t xml:space="preserve">Interactive Exploration: </w:t>
      </w:r>
      <w:r>
        <w:rPr>
          <w:rFonts w:ascii="Calibri" w:hAnsi="Calibri"/>
          <w:color w:val="1E293B"/>
          <w:sz w:val="22"/>
        </w:rPr>
        <w:t xml:space="preserve"> Users can click any company or investor to isolate their complete syndicate circle and explore their direct funding ties in a web browser without writing any code.</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DejaVu Sans"/>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6" w:before="0" w:after="200"/>
      <w:jc w:val="start"/>
    </w:pPr>
    <w:rPr>
      <w:rFonts w:ascii="Cambria" w:hAnsi="Cambria" w:eastAsia="ＭＳ 明朝" w:cs="DejaVu Sans"/>
      <w:color w:val="auto"/>
      <w:kern w:val="0"/>
      <w:sz w:val="22"/>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ascii="Calibri" w:hAnsi="Calibri" w:eastAsia="ＭＳ ゴシック" w:cs="DejaVu Sans"/>
      <w:b/>
      <w:bCs/>
      <w:color w:themeColor="accent1" w:themeShade="bf" w:val="365F91"/>
      <w:sz w:val="28"/>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ＭＳ ゴシック" w:cs="DejaVu Sans"/>
      <w:b/>
      <w:bCs/>
      <w:color w:themeColor="accent1" w:val="4F81BD"/>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ＭＳ ゴシック" w:cs="DejaVu Sans"/>
      <w:b/>
      <w:bCs/>
      <w:color w:themeColor="accent1" w:val="4F81BD"/>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ＭＳ ゴシック" w:cs="DejaVu Sans"/>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ＭＳ ゴシック" w:cs="DejaVu Sans"/>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ＭＳ ゴシック" w:cs="DejaVu Sans"/>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ＭＳ ゴシック" w:cs="DejaVu Sans"/>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ＭＳ ゴシック" w:cs="DejaVu Sans"/>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ＭＳ ゴシック" w:cs="DejaVu Sans"/>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ＭＳ ゴシック" w:cs="DejaVu Sans"/>
      <w:b/>
      <w:bCs/>
      <w:color w:themeColor="accent1" w:themeShade="bf" w:val="365F91"/>
      <w:sz w:val="28"/>
      <w:szCs w:val="28"/>
    </w:rPr>
  </w:style>
  <w:style w:type="character" w:styleId="Heading2Char">
    <w:name w:val="Heading 2 Char"/>
    <w:basedOn w:val="DefaultParagraphFont"/>
    <w:link w:val="Heading2"/>
    <w:qFormat/>
    <w:rPr>
      <w:rFonts w:ascii="Calibri" w:hAnsi="Calibri" w:eastAsia="ＭＳ ゴシック" w:cs="DejaVu Sans"/>
      <w:b/>
      <w:bCs/>
      <w:color w:themeColor="accent1" w:val="4F81BD"/>
      <w:sz w:val="26"/>
      <w:szCs w:val="26"/>
    </w:rPr>
  </w:style>
  <w:style w:type="character" w:styleId="Heading3Char">
    <w:name w:val="Heading 3 Char"/>
    <w:basedOn w:val="DefaultParagraphFont"/>
    <w:link w:val="Heading3"/>
    <w:qFormat/>
    <w:rPr>
      <w:rFonts w:ascii="Calibri" w:hAnsi="Calibri" w:eastAsia="ＭＳ ゴシック" w:cs="DejaVu Sans"/>
      <w:b/>
      <w:bCs/>
      <w:color w:themeColor="accent1" w:val="4F81BD"/>
    </w:rPr>
  </w:style>
  <w:style w:type="character" w:styleId="TitleChar">
    <w:name w:val="Title Char"/>
    <w:basedOn w:val="DefaultParagraphFont"/>
    <w:link w:val="Title"/>
    <w:qFormat/>
    <w:rPr>
      <w:rFonts w:ascii="Calibri" w:hAnsi="Calibri" w:eastAsia="ＭＳ ゴシック" w:cs="DejaVu Sans"/>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ＭＳ ゴシック" w:cs="DejaVu Sans"/>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ＭＳ ゴシック" w:cs="DejaVu Sans"/>
      <w:b/>
      <w:bCs/>
      <w:i/>
      <w:iCs/>
      <w:color w:themeColor="accent1" w:val="4F81BD"/>
    </w:rPr>
  </w:style>
  <w:style w:type="character" w:styleId="Heading5Char">
    <w:name w:val="Heading 5 Char"/>
    <w:basedOn w:val="DefaultParagraphFont"/>
    <w:link w:val="Heading5"/>
    <w:qFormat/>
    <w:rPr>
      <w:rFonts w:ascii="Calibri" w:hAnsi="Calibri" w:eastAsia="ＭＳ ゴシック" w:cs="DejaVu Sans"/>
      <w:color w:themeColor="accent1" w:themeShade="7f" w:val="243F60"/>
    </w:rPr>
  </w:style>
  <w:style w:type="character" w:styleId="Heading6Char">
    <w:name w:val="Heading 6 Char"/>
    <w:basedOn w:val="DefaultParagraphFont"/>
    <w:link w:val="Heading6"/>
    <w:qFormat/>
    <w:rPr>
      <w:rFonts w:ascii="Calibri" w:hAnsi="Calibri" w:eastAsia="ＭＳ ゴシック" w:cs="DejaVu Sans"/>
      <w:i/>
      <w:iCs/>
      <w:color w:themeColor="accent1" w:themeShade="7f" w:val="243F60"/>
    </w:rPr>
  </w:style>
  <w:style w:type="character" w:styleId="Heading7Char">
    <w:name w:val="Heading 7 Char"/>
    <w:basedOn w:val="DefaultParagraphFont"/>
    <w:link w:val="Heading7"/>
    <w:qFormat/>
    <w:rPr>
      <w:rFonts w:ascii="Calibri" w:hAnsi="Calibri" w:eastAsia="ＭＳ ゴシック" w:cs="DejaVu Sans"/>
      <w:i/>
      <w:iCs/>
      <w:color w:themeColor="dark1" w:themeTint="bf" w:val="404040"/>
    </w:rPr>
  </w:style>
  <w:style w:type="character" w:styleId="Heading8Char">
    <w:name w:val="Heading 8 Char"/>
    <w:basedOn w:val="DefaultParagraphFont"/>
    <w:link w:val="Heading8"/>
    <w:qFormat/>
    <w:rPr>
      <w:rFonts w:ascii="Calibri" w:hAnsi="Calibri" w:eastAsia="ＭＳ ゴシック" w:cs="DejaVu Sans"/>
      <w:color w:themeColor="accent1" w:val="4F81BD"/>
      <w:sz w:val="20"/>
      <w:szCs w:val="20"/>
    </w:rPr>
  </w:style>
  <w:style w:type="character" w:styleId="Heading9Char">
    <w:name w:val="Heading 9 Char"/>
    <w:basedOn w:val="DefaultParagraphFont"/>
    <w:link w:val="Heading9"/>
    <w:qFormat/>
    <w:rPr>
      <w:rFonts w:ascii="Calibri" w:hAnsi="Calibri" w:eastAsia="ＭＳ ゴシック" w:cs="DejaVu Sans"/>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200"/>
      <w:ind w:hanging="360" w:star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jc w:val="start"/>
    </w:pPr>
    <w:rPr>
      <w:rFonts w:ascii="Cambria" w:hAnsi="Cambria" w:eastAsia="ＭＳ 明朝" w:cs="DejaVu Sans"/>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ＭＳ ゴシック" w:cs="DejaVu Sans"/>
      <w:color w:themeColor="dark2" w:themeShade="bf" w:val="17365D"/>
      <w:spacing w:val="5"/>
      <w:kern w:val="2"/>
      <w:sz w:val="52"/>
      <w:szCs w:val="52"/>
    </w:rPr>
  </w:style>
  <w:style w:type="paragraph" w:styleId="Subtitle">
    <w:name w:val="Subtitle"/>
    <w:basedOn w:val="Normal"/>
    <w:next w:val="Normal"/>
    <w:link w:val="SubtitleChar"/>
    <w:qFormat/>
    <w:pPr/>
    <w:rPr>
      <w:rFonts w:ascii="Calibri" w:hAnsi="Calibri" w:eastAsia="ＭＳ ゴシック" w:cs="DejaVu Sans"/>
      <w:i/>
      <w:iCs/>
      <w:color w:themeColor="accent1" w:val="4F81BD"/>
      <w:spacing w:val="15"/>
      <w:sz w:val="24"/>
      <w:szCs w:val="24"/>
    </w:rPr>
  </w:style>
  <w:style w:type="paragraph" w:styleId="ListParagraph">
    <w:name w:val="List Paragraph"/>
    <w:basedOn w:val="Normal"/>
    <w:qFormat/>
    <w:pPr>
      <w:spacing w:before="0" w:after="200"/>
      <w:ind w:star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200"/>
      <w:ind w:hanging="360" w:start="720"/>
      <w:contextualSpacing/>
    </w:pPr>
    <w:rPr/>
  </w:style>
  <w:style w:type="paragraph" w:styleId="List3">
    <w:name w:val="List 3"/>
    <w:basedOn w:val="Normal"/>
    <w:qFormat/>
    <w:pPr>
      <w:spacing w:before="0" w:after="200"/>
      <w:ind w:hanging="360" w:start="1080"/>
      <w:contextualSpacing/>
    </w:pPr>
    <w:rPr/>
  </w:style>
  <w:style w:type="paragraph" w:styleId="ListBullet">
    <w:name w:val="List Bullet"/>
    <w:basedOn w:val="Normal"/>
    <w:pPr>
      <w:numPr>
        <w:ilvl w:val="0"/>
        <w:numId w:val="2"/>
      </w:numPr>
      <w:spacing w:before="0" w:after="200"/>
      <w:contextualSpacing/>
    </w:pPr>
    <w:rPr/>
  </w:style>
  <w:style w:type="paragraph" w:styleId="ListBullet2">
    <w:name w:val="List Bullet 2"/>
    <w:basedOn w:val="Normal"/>
    <w:pPr>
      <w:numPr>
        <w:ilvl w:val="0"/>
        <w:numId w:val="3"/>
      </w:numPr>
      <w:spacing w:before="0" w:after="200"/>
      <w:contextualSpacing/>
    </w:pPr>
    <w:rPr/>
  </w:style>
  <w:style w:type="paragraph" w:styleId="ListBullet3">
    <w:name w:val="List Bullet 3"/>
    <w:basedOn w:val="Normal"/>
    <w:pPr>
      <w:numPr>
        <w:ilvl w:val="0"/>
        <w:numId w:val="4"/>
      </w:numPr>
      <w:spacing w:before="0" w:after="200"/>
      <w:contextualSpacing/>
    </w:pPr>
    <w:rPr/>
  </w:style>
  <w:style w:type="paragraph" w:styleId="ListNumber">
    <w:name w:val="List Number"/>
    <w:basedOn w:val="Normal"/>
    <w:pPr>
      <w:numPr>
        <w:ilvl w:val="0"/>
        <w:numId w:val="5"/>
      </w:numPr>
      <w:spacing w:before="0" w:after="200"/>
      <w:contextualSpacing/>
    </w:pPr>
    <w:rPr/>
  </w:style>
  <w:style w:type="paragraph" w:styleId="ListNumber2">
    <w:name w:val="List Number 2"/>
    <w:basedOn w:val="Normal"/>
    <w:pPr>
      <w:numPr>
        <w:ilvl w:val="0"/>
        <w:numId w:val="6"/>
      </w:numPr>
      <w:spacing w:before="0" w:after="200"/>
      <w:contextualSpacing/>
    </w:pPr>
    <w:rPr/>
  </w:style>
  <w:style w:type="paragraph" w:styleId="ListNumber3">
    <w:name w:val="List Number 3"/>
    <w:basedOn w:val="Normal"/>
    <w:pPr>
      <w:numPr>
        <w:ilvl w:val="0"/>
        <w:numId w:val="7"/>
      </w:numPr>
      <w:spacing w:before="0" w:after="20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jc w:val="start"/>
    </w:pPr>
    <w:rPr>
      <w:rFonts w:ascii="Courier" w:hAnsi="Courier" w:eastAsia="ＭＳ 明朝" w:cs="DejaVu Sans"/>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LibreOffice/24.2.7.2$Linux_X86_64 LibreOffice_project/420$Build-2</Application>
  <AppVersion>15.0000</AppVersion>
  <Pages>8</Pages>
  <Words>2192</Words>
  <Characters>12801</Characters>
  <CharactersWithSpaces>14835</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2026-10-06T19:41:00Z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