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4"/>
        </w:rPr>
        <w:t>Project Summary: Indian Startup Funding &amp; Investor Network</w:t>
      </w:r>
    </w:p>
    <w:p>
      <w:pPr>
        <w:spacing w:before="0" w:after="280"/>
      </w:pPr>
      <w:r>
        <w:rPr>
          <w:rFonts w:ascii="Calibri" w:hAnsi="Calibri"/>
          <w:i/>
          <w:color w:val="475569"/>
          <w:sz w:val="24"/>
        </w:rPr>
        <w:t>A 300-Word Plain-Language Executive Summary with Real Startup Examples</w:t>
      </w:r>
    </w:p>
    <w:p>
      <w:pPr>
        <w:spacing w:before="200" w:after="120"/>
      </w:pPr>
      <w:r>
        <w:rPr>
          <w:rFonts w:ascii="Calibri" w:hAnsi="Calibri"/>
          <w:b/>
          <w:color w:val="1E3A8A"/>
          <w:sz w:val="28"/>
        </w:rPr>
        <w:t>Executive Summary (300 Words)</w:t>
      </w:r>
    </w:p>
    <w:p>
      <w:pPr>
        <w:spacing w:before="0" w:after="120" w:line="276" w:lineRule="auto"/>
      </w:pPr>
      <w:r>
        <w:rPr>
          <w:rFonts w:ascii="Calibri" w:hAnsi="Calibri"/>
          <w:color w:val="1E293B"/>
          <w:sz w:val="22"/>
        </w:rPr>
        <w:t>The primary aim of this project is to understand what truly drives funding success in the Indian startup ecosystem, and specifically whether who backs a startup matters just as much as its business numbers.</w:t>
      </w:r>
    </w:p>
    <w:p>
      <w:pPr>
        <w:spacing w:before="0" w:after="120" w:line="276" w:lineRule="auto"/>
      </w:pPr>
      <w:r>
        <w:rPr>
          <w:rFonts w:ascii="Calibri" w:hAnsi="Calibri"/>
          <w:color w:val="1E293B"/>
          <w:sz w:val="22"/>
        </w:rPr>
        <w:t>We investigate two central research questions: First, can we accurately predict how much money a startup will raise and whether it will survive to secure follow-on funding rounds? Second, does partnering with a well-connected, prestigious investor give a startup a measurable financial boost over its competitors?</w:t>
      </w:r>
    </w:p>
    <w:p>
      <w:pPr>
        <w:spacing w:before="0" w:after="120" w:line="276" w:lineRule="auto"/>
      </w:pPr>
      <w:r>
        <w:rPr>
          <w:rFonts w:ascii="Calibri" w:hAnsi="Calibri"/>
          <w:color w:val="1E293B"/>
          <w:sz w:val="22"/>
        </w:rPr>
        <w:t>To answer these questions, we analyzed over 3,000 real-world Indian funding deals spanning 2015 to 2020. We mapped the venture ecosystem into an interconnected web of connections linking founders, companies, and investors. Using machine learning models, we predicted funding cheque sizes with nearly 70% accuracy and identified startups that successfully graduate to future funding rounds with 89% accuracy. Crucially, adding an investor's network reputation score gave our prediction models an extra 5.5% boost in accuracy, proving that investor relationships directly impact financial outcomes.</w:t>
      </w:r>
    </w:p>
    <w:p>
      <w:pPr>
        <w:spacing w:before="0" w:after="120" w:line="276" w:lineRule="auto"/>
      </w:pPr>
      <w:r>
        <w:rPr>
          <w:rFonts w:ascii="Calibri" w:hAnsi="Calibri"/>
          <w:color w:val="1E293B"/>
          <w:sz w:val="22"/>
        </w:rPr>
        <w:t>In simple terms, investor reputation acts as a powerful stamp of trust. In our dataset, startups like Swiggy, Ola Cabs, and Paytm successfully raised massive successive funding rounds—progressing across seven to eight rounds into hundreds of millions of dollars—largely because early backing from influential investors like Tiger Global, Sequoia Capital, and Accel signaled immediate credibility to the entire market. Similarly, Meesho leveraged strong investor networks to smoothly advance from early seed stages all the way to Series D. In contrast, promising early-stage startups backed by isolated or first-time investors often struggled to secure follow-on capital. Geographically, over 60% of all deals clustered in just two major hubs: Bengaluru and Delhi-NCR.</w:t>
      </w:r>
    </w:p>
    <w:p>
      <w:pPr>
        <w:spacing w:before="0" w:after="120" w:line="276" w:lineRule="auto"/>
      </w:pPr>
      <w:r>
        <w:rPr>
          <w:rFonts w:ascii="Calibri" w:hAnsi="Calibri"/>
          <w:color w:val="1E293B"/>
          <w:sz w:val="22"/>
        </w:rPr>
        <w:t>Ultimately, these findings show that top-tier investors do not just bring cash; their network influence validates the business, attracts syndicate partners, and unlocks substantially larger future investments.</w:t>
      </w:r>
    </w:p>
    <w:p>
      <w:pPr>
        <w:spacing w:before="160" w:after="320"/>
      </w:pPr>
      <w:r>
        <w:rPr>
          <w:rFonts w:ascii="Calibri" w:hAnsi="Calibri"/>
          <w:b/>
          <w:color w:val="475569"/>
          <w:sz w:val="20"/>
        </w:rPr>
        <w:t>Total Core Body Word Count: Exactly 300 words</w:t>
      </w:r>
    </w:p>
    <w:p>
      <w:pPr>
        <w:spacing w:before="200" w:after="120"/>
      </w:pPr>
      <w:r>
        <w:rPr>
          <w:rFonts w:ascii="Calibri" w:hAnsi="Calibri"/>
          <w:b/>
          <w:color w:val="1E3A8A"/>
          <w:sz w:val="26"/>
        </w:rPr>
        <w:t>Key Highlights &amp; Plain-Language Breakdown</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160"/>
            <w:vAlign w:val="center"/>
            <w:shd w:fill="1E3A8A"/>
          </w:tcPr>
          <w:p>
            <w:pPr>
              <w:spacing w:before="60" w:after="60" w:line="276" w:lineRule="auto"/>
            </w:pPr>
            <w:r>
              <w:rPr>
                <w:rFonts w:ascii="Calibri" w:hAnsi="Calibri"/>
                <w:b/>
                <w:color w:val="FFFFFF"/>
                <w:sz w:val="20"/>
              </w:rPr>
              <w:t>Dimension</w:t>
            </w:r>
          </w:p>
        </w:tc>
        <w:tc>
          <w:tcPr>
            <w:tcW w:type="dxa" w:w="4032"/>
            <w:vAlign w:val="center"/>
            <w:shd w:fill="1E3A8A"/>
          </w:tcPr>
          <w:p>
            <w:pPr>
              <w:spacing w:before="60" w:after="60" w:line="276" w:lineRule="auto"/>
            </w:pPr>
            <w:r>
              <w:rPr>
                <w:rFonts w:ascii="Calibri" w:hAnsi="Calibri"/>
                <w:b/>
                <w:color w:val="FFFFFF"/>
                <w:sz w:val="20"/>
              </w:rPr>
              <w:t>Project Finding in Plain English</w:t>
            </w:r>
          </w:p>
        </w:tc>
        <w:tc>
          <w:tcPr>
            <w:tcW w:type="dxa" w:w="3168"/>
            <w:vAlign w:val="center"/>
            <w:shd w:fill="1E3A8A"/>
          </w:tcPr>
          <w:p>
            <w:pPr>
              <w:spacing w:before="60" w:after="60" w:line="276" w:lineRule="auto"/>
            </w:pPr>
            <w:r>
              <w:rPr>
                <w:rFonts w:ascii="Calibri" w:hAnsi="Calibri"/>
                <w:b/>
                <w:color w:val="FFFFFF"/>
                <w:sz w:val="20"/>
              </w:rPr>
              <w:t>Real Startup Examples in Dataset</w:t>
            </w:r>
          </w:p>
        </w:tc>
      </w:tr>
      <w:tr>
        <w:trPr>
          <w:cantSplit/>
        </w:trPr>
        <w:tc>
          <w:tcPr>
            <w:tcW w:type="dxa" w:w="2160"/>
            <w:vAlign w:val="center"/>
            <w:shd w:fill="F8FAFC"/>
          </w:tcPr>
          <w:p>
            <w:pPr>
              <w:spacing w:before="60" w:after="60" w:line="276" w:lineRule="auto"/>
            </w:pPr>
            <w:r>
              <w:rPr>
                <w:rFonts w:ascii="Calibri" w:hAnsi="Calibri"/>
                <w:b/>
                <w:color w:val="1E293B"/>
                <w:sz w:val="19"/>
              </w:rPr>
              <w:t>Project Aim</w:t>
            </w:r>
          </w:p>
        </w:tc>
        <w:tc>
          <w:tcPr>
            <w:tcW w:type="dxa" w:w="4032"/>
            <w:vAlign w:val="center"/>
            <w:shd w:fill="F8FAFC"/>
          </w:tcPr>
          <w:p>
            <w:pPr>
              <w:spacing w:before="60" w:after="60" w:line="276" w:lineRule="auto"/>
            </w:pPr>
            <w:r>
              <w:rPr>
                <w:rFonts w:ascii="Calibri" w:hAnsi="Calibri"/>
                <w:color w:val="1E293B"/>
                <w:sz w:val="19"/>
              </w:rPr>
              <w:t>Find out if a startup's success is driven purely by company metrics or also by the prestige and network connections of its investors.</w:t>
            </w:r>
          </w:p>
        </w:tc>
        <w:tc>
          <w:tcPr>
            <w:tcW w:type="dxa" w:w="3168"/>
            <w:vAlign w:val="center"/>
            <w:shd w:fill="F8FAFC"/>
          </w:tcPr>
          <w:p>
            <w:pPr>
              <w:spacing w:before="60" w:after="60" w:line="276" w:lineRule="auto"/>
            </w:pPr>
            <w:r>
              <w:rPr>
                <w:rFonts w:ascii="Calibri" w:hAnsi="Calibri"/>
                <w:color w:val="1E293B"/>
                <w:sz w:val="19"/>
              </w:rPr>
              <w:t>Analyzing 2,349 distinct Indian tech startups across 3,044 funding rounds.</w:t>
            </w:r>
          </w:p>
        </w:tc>
      </w:tr>
      <w:tr>
        <w:trPr>
          <w:cantSplit/>
        </w:trPr>
        <w:tc>
          <w:tcPr>
            <w:tcW w:type="dxa" w:w="2160"/>
            <w:vAlign w:val="center"/>
            <w:shd w:fill="FFFFFF"/>
          </w:tcPr>
          <w:p>
            <w:pPr>
              <w:spacing w:before="60" w:after="60" w:line="276" w:lineRule="auto"/>
            </w:pPr>
            <w:r>
              <w:rPr>
                <w:rFonts w:ascii="Calibri" w:hAnsi="Calibri"/>
                <w:b/>
                <w:color w:val="1E293B"/>
                <w:sz w:val="19"/>
              </w:rPr>
              <w:t>Core Questions</w:t>
            </w:r>
          </w:p>
        </w:tc>
        <w:tc>
          <w:tcPr>
            <w:tcW w:type="dxa" w:w="4032"/>
            <w:vAlign w:val="center"/>
            <w:shd w:fill="FFFFFF"/>
          </w:tcPr>
          <w:p>
            <w:pPr>
              <w:spacing w:before="60" w:after="60" w:line="276" w:lineRule="auto"/>
            </w:pPr>
            <w:r>
              <w:rPr>
                <w:rFonts w:ascii="Calibri" w:hAnsi="Calibri"/>
                <w:color w:val="1E293B"/>
                <w:sz w:val="19"/>
              </w:rPr>
              <w:t>1. Can algorithms predict cheque sizes and survival?</w:t>
              <w:br/>
              <w:t>2. Does having a famous investor give a real funding boost?</w:t>
            </w:r>
          </w:p>
        </w:tc>
        <w:tc>
          <w:tcPr>
            <w:tcW w:type="dxa" w:w="3168"/>
            <w:vAlign w:val="center"/>
            <w:shd w:fill="FFFFFF"/>
          </w:tcPr>
          <w:p>
            <w:pPr>
              <w:spacing w:before="60" w:after="60" w:line="276" w:lineRule="auto"/>
            </w:pPr>
            <w:r>
              <w:rPr>
                <w:rFonts w:ascii="Calibri" w:hAnsi="Calibri"/>
                <w:color w:val="1E293B"/>
                <w:sz w:val="19"/>
              </w:rPr>
              <w:t>Comparing startups with premier backers vs. startups with one-time, isolated investors.</w:t>
            </w:r>
          </w:p>
        </w:tc>
      </w:tr>
      <w:tr>
        <w:trPr>
          <w:cantSplit/>
        </w:trPr>
        <w:tc>
          <w:tcPr>
            <w:tcW w:type="dxa" w:w="2160"/>
            <w:vAlign w:val="center"/>
            <w:shd w:fill="F8FAFC"/>
          </w:tcPr>
          <w:p>
            <w:pPr>
              <w:spacing w:before="60" w:after="60" w:line="276" w:lineRule="auto"/>
            </w:pPr>
            <w:r>
              <w:rPr>
                <w:rFonts w:ascii="Calibri" w:hAnsi="Calibri"/>
                <w:b/>
                <w:color w:val="1E293B"/>
                <w:sz w:val="19"/>
              </w:rPr>
              <w:t>Predictive Results</w:t>
            </w:r>
          </w:p>
        </w:tc>
        <w:tc>
          <w:tcPr>
            <w:tcW w:type="dxa" w:w="4032"/>
            <w:vAlign w:val="center"/>
            <w:shd w:fill="F8FAFC"/>
          </w:tcPr>
          <w:p>
            <w:pPr>
              <w:spacing w:before="60" w:after="60" w:line="276" w:lineRule="auto"/>
            </w:pPr>
            <w:r>
              <w:rPr>
                <w:rFonts w:ascii="Calibri" w:hAnsi="Calibri"/>
                <w:color w:val="1E293B"/>
                <w:sz w:val="19"/>
              </w:rPr>
              <w:t>Achieved ~70% accuracy predicting funding amounts and 89% accuracy predicting follow-on round survival.</w:t>
            </w:r>
          </w:p>
        </w:tc>
        <w:tc>
          <w:tcPr>
            <w:tcW w:type="dxa" w:w="3168"/>
            <w:vAlign w:val="center"/>
            <w:shd w:fill="F8FAFC"/>
          </w:tcPr>
          <w:p>
            <w:pPr>
              <w:spacing w:before="60" w:after="60" w:line="276" w:lineRule="auto"/>
            </w:pPr>
            <w:r>
              <w:rPr>
                <w:rFonts w:ascii="Calibri" w:hAnsi="Calibri"/>
                <w:color w:val="1E293B"/>
                <w:sz w:val="19"/>
              </w:rPr>
              <w:t>Models accurately distinguish high-growth multi-round companies from single-round companies.</w:t>
            </w:r>
          </w:p>
        </w:tc>
      </w:tr>
      <w:tr>
        <w:trPr>
          <w:cantSplit/>
        </w:trPr>
        <w:tc>
          <w:tcPr>
            <w:tcW w:type="dxa" w:w="2160"/>
            <w:vAlign w:val="center"/>
            <w:shd w:fill="FFFFFF"/>
          </w:tcPr>
          <w:p>
            <w:pPr>
              <w:spacing w:before="60" w:after="60" w:line="276" w:lineRule="auto"/>
            </w:pPr>
            <w:r>
              <w:rPr>
                <w:rFonts w:ascii="Calibri" w:hAnsi="Calibri"/>
                <w:b/>
                <w:color w:val="1E293B"/>
                <w:sz w:val="19"/>
              </w:rPr>
              <w:t>Network Impact</w:t>
            </w:r>
          </w:p>
        </w:tc>
        <w:tc>
          <w:tcPr>
            <w:tcW w:type="dxa" w:w="4032"/>
            <w:vAlign w:val="center"/>
            <w:shd w:fill="FFFFFF"/>
          </w:tcPr>
          <w:p>
            <w:pPr>
              <w:spacing w:before="60" w:after="60" w:line="276" w:lineRule="auto"/>
            </w:pPr>
            <w:r>
              <w:rPr>
                <w:rFonts w:ascii="Calibri" w:hAnsi="Calibri"/>
                <w:color w:val="1E293B"/>
                <w:sz w:val="19"/>
              </w:rPr>
              <w:t>Adding the investor connection score improved prediction accuracy by an extra +5.5%.</w:t>
            </w:r>
          </w:p>
        </w:tc>
        <w:tc>
          <w:tcPr>
            <w:tcW w:type="dxa" w:w="3168"/>
            <w:vAlign w:val="center"/>
            <w:shd w:fill="FFFFFF"/>
          </w:tcPr>
          <w:p>
            <w:pPr>
              <w:spacing w:before="60" w:after="60" w:line="276" w:lineRule="auto"/>
            </w:pPr>
            <w:r>
              <w:rPr>
                <w:rFonts w:ascii="Calibri" w:hAnsi="Calibri"/>
                <w:color w:val="1E293B"/>
                <w:sz w:val="19"/>
              </w:rPr>
              <w:t>Proves investor reputation is not random noise—it is an active driver of valuation.</w:t>
            </w:r>
          </w:p>
        </w:tc>
      </w:tr>
      <w:tr>
        <w:trPr>
          <w:cantSplit/>
        </w:trPr>
        <w:tc>
          <w:tcPr>
            <w:tcW w:type="dxa" w:w="2160"/>
            <w:vAlign w:val="center"/>
            <w:shd w:fill="F8FAFC"/>
          </w:tcPr>
          <w:p>
            <w:pPr>
              <w:spacing w:before="60" w:after="60" w:line="276" w:lineRule="auto"/>
            </w:pPr>
            <w:r>
              <w:rPr>
                <w:rFonts w:ascii="Calibri" w:hAnsi="Calibri"/>
                <w:b/>
                <w:color w:val="1E293B"/>
                <w:sz w:val="19"/>
              </w:rPr>
              <w:t>Market Signaling</w:t>
            </w:r>
          </w:p>
        </w:tc>
        <w:tc>
          <w:tcPr>
            <w:tcW w:type="dxa" w:w="4032"/>
            <w:vAlign w:val="center"/>
            <w:shd w:fill="F8FAFC"/>
          </w:tcPr>
          <w:p>
            <w:pPr>
              <w:spacing w:before="60" w:after="60" w:line="276" w:lineRule="auto"/>
            </w:pPr>
            <w:r>
              <w:rPr>
                <w:rFonts w:ascii="Calibri" w:hAnsi="Calibri"/>
                <w:color w:val="1E293B"/>
                <w:sz w:val="19"/>
              </w:rPr>
              <w:t>Top investors act like a "seal of approval," attracting co-investors and reassuring future rounds.</w:t>
            </w:r>
          </w:p>
        </w:tc>
        <w:tc>
          <w:tcPr>
            <w:tcW w:type="dxa" w:w="3168"/>
            <w:vAlign w:val="center"/>
            <w:shd w:fill="F8FAFC"/>
          </w:tcPr>
          <w:p>
            <w:pPr>
              <w:spacing w:before="60" w:after="60" w:line="276" w:lineRule="auto"/>
            </w:pPr>
            <w:r>
              <w:rPr>
                <w:rFonts w:ascii="Calibri" w:hAnsi="Calibri"/>
                <w:color w:val="1E293B"/>
                <w:sz w:val="19"/>
              </w:rPr>
              <w:t>Tiger Global, Sequoia Capital India, and Accel backed top multi-round successes (Swiggy, Ola Cabs, Meesho).</w:t>
            </w:r>
          </w:p>
        </w:tc>
      </w:tr>
      <w:tr>
        <w:trPr>
          <w:cantSplit/>
        </w:trPr>
        <w:tc>
          <w:tcPr>
            <w:tcW w:type="dxa" w:w="2160"/>
            <w:vAlign w:val="center"/>
            <w:shd w:fill="FFFFFF"/>
          </w:tcPr>
          <w:p>
            <w:pPr>
              <w:spacing w:before="60" w:after="60" w:line="276" w:lineRule="auto"/>
            </w:pPr>
            <w:r>
              <w:rPr>
                <w:rFonts w:ascii="Calibri" w:hAnsi="Calibri"/>
                <w:b/>
                <w:color w:val="1E293B"/>
                <w:sz w:val="19"/>
              </w:rPr>
              <w:t>Geographic Hubs</w:t>
            </w:r>
          </w:p>
        </w:tc>
        <w:tc>
          <w:tcPr>
            <w:tcW w:type="dxa" w:w="4032"/>
            <w:vAlign w:val="center"/>
            <w:shd w:fill="FFFFFF"/>
          </w:tcPr>
          <w:p>
            <w:pPr>
              <w:spacing w:before="60" w:after="60" w:line="276" w:lineRule="auto"/>
            </w:pPr>
            <w:r>
              <w:rPr>
                <w:rFonts w:ascii="Calibri" w:hAnsi="Calibri"/>
                <w:color w:val="1E293B"/>
                <w:sz w:val="19"/>
              </w:rPr>
              <w:t>Venture capital is heavily concentrated; over 60% of all deals occur in just two tech cities.</w:t>
            </w:r>
          </w:p>
        </w:tc>
        <w:tc>
          <w:tcPr>
            <w:tcW w:type="dxa" w:w="3168"/>
            <w:vAlign w:val="center"/>
            <w:shd w:fill="FFFFFF"/>
          </w:tcPr>
          <w:p>
            <w:pPr>
              <w:spacing w:before="60" w:after="60" w:line="276" w:lineRule="auto"/>
            </w:pPr>
            <w:r>
              <w:rPr>
                <w:rFonts w:ascii="Calibri" w:hAnsi="Calibri"/>
                <w:color w:val="1E293B"/>
                <w:sz w:val="19"/>
              </w:rPr>
              <w:t>Bengaluru (31.7%) and Delhi-NCR (29.2%) represent the vast majority of active venture networks.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