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Project 2: Startup Funding Prediction Model</w:t>
      </w:r>
    </w:p>
    <w:p>
      <w:pPr>
        <w:spacing w:after="320"/>
      </w:pPr>
      <w:r>
        <w:rPr>
          <w:rFonts w:ascii="Calibri" w:hAnsi="Calibri"/>
          <w:color w:val="64748B"/>
          <w:sz w:val="24"/>
        </w:rPr>
        <w:t>Codebook, Data Dictionary &amp; Feature Engineering Specification</w:t>
      </w:r>
    </w:p>
    <w:p>
      <w:pPr>
        <w:pStyle w:val="Heading1"/>
      </w:pPr>
      <w:r>
        <w:t>1. Dataset Overview &amp; Scope</w:t>
      </w:r>
    </w:p>
    <w:p>
      <w:r>
        <w:t>This codebook provides the definitive specification for all variables, engineered features, and network bridge transfers deployed in Project 2 (Startup Funding Prediction Model). The project utilizes the empirical transaction record of 3,044 funding rounds in the Indian startup ecosystem spanning January 2015 to January 2020. The primary empirical objectives are predicting continuous round funding amounts (Task A) and predicting binary stage graduation into follow-on rounds (Task B).</w:t>
      </w:r>
    </w:p>
    <w:p>
      <w:pPr>
        <w:pStyle w:val="Heading1"/>
      </w:pPr>
      <w:r>
        <w:t>2. The Project 1 to Project 2 Feature Bridge</w:t>
      </w:r>
    </w:p>
    <w:p>
      <w:r>
        <w:t>Instead of analyzing venture transactions in isolation, Project 2 directly leverages topological metrics generated from Project 1's tripartite (Founder-Startup-Investor) network. Participating investors in each transaction are matched against Project 1's graph of 4,002 entities and 3,881 ties. Key network indicators transferred include Lead Investor Degree Centrality, Betweenness Centrality, Eigenvector Centrality, and PageRank Prestige. When participating syndicates comprise unindexed investors, metrics default to zero with an explicit coverage indicator (in_p1_network = 0), preventing sample truncation.</w:t>
      </w:r>
    </w:p>
    <w:p>
      <w:pPr>
        <w:pStyle w:val="Heading1"/>
      </w:pPr>
      <w:r>
        <w:t>3. Variable Inventory &amp; Data Dictionary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293B"/>
          </w:tcPr>
          <w:p>
            <w:pPr>
              <w:jc w:val="left"/>
            </w:pPr>
            <w:r>
              <w:rPr>
                <w:rFonts w:ascii="Calibri" w:hAnsi="Calibri"/>
                <w:b/>
                <w:color w:val="FFFFFF"/>
                <w:sz w:val="17"/>
              </w:rPr>
              <w:t>Variable Name</w:t>
            </w:r>
          </w:p>
        </w:tc>
        <w:tc>
          <w:tcPr>
            <w:tcW w:type="dxa" w:w="1296"/>
            <w:shd w:fill="1E293B"/>
          </w:tcPr>
          <w:p>
            <w:pPr>
              <w:jc w:val="left"/>
            </w:pPr>
            <w:r>
              <w:rPr>
                <w:rFonts w:ascii="Calibri" w:hAnsi="Calibri"/>
                <w:b/>
                <w:color w:val="FFFFFF"/>
                <w:sz w:val="17"/>
              </w:rPr>
              <w:t>Origin / Source</w:t>
            </w:r>
          </w:p>
        </w:tc>
        <w:tc>
          <w:tcPr>
            <w:tcW w:type="dxa" w:w="1152"/>
            <w:shd w:fill="1E293B"/>
          </w:tcPr>
          <w:p>
            <w:pPr>
              <w:jc w:val="left"/>
            </w:pPr>
            <w:r>
              <w:rPr>
                <w:rFonts w:ascii="Calibri" w:hAnsi="Calibri"/>
                <w:b/>
                <w:color w:val="FFFFFF"/>
                <w:sz w:val="17"/>
              </w:rPr>
              <w:t>Data Type</w:t>
            </w:r>
          </w:p>
        </w:tc>
        <w:tc>
          <w:tcPr>
            <w:tcW w:type="dxa" w:w="1296"/>
            <w:shd w:fill="1E293B"/>
          </w:tcPr>
          <w:p>
            <w:pPr>
              <w:jc w:val="left"/>
            </w:pPr>
            <w:r>
              <w:rPr>
                <w:rFonts w:ascii="Calibri" w:hAnsi="Calibri"/>
                <w:b/>
                <w:color w:val="FFFFFF"/>
                <w:sz w:val="17"/>
              </w:rPr>
              <w:t>Role in Model</w:t>
            </w:r>
          </w:p>
        </w:tc>
        <w:tc>
          <w:tcPr>
            <w:tcW w:type="dxa" w:w="1584"/>
            <w:shd w:fill="1E293B"/>
          </w:tcPr>
          <w:p>
            <w:pPr>
              <w:jc w:val="left"/>
            </w:pPr>
            <w:r>
              <w:rPr>
                <w:rFonts w:ascii="Calibri" w:hAnsi="Calibri"/>
                <w:b/>
                <w:color w:val="FFFFFF"/>
                <w:sz w:val="17"/>
              </w:rPr>
              <w:t>Imputation / Clean Strategy</w:t>
            </w:r>
          </w:p>
        </w:tc>
        <w:tc>
          <w:tcPr>
            <w:tcW w:type="dxa" w:w="2592"/>
            <w:shd w:fill="1E293B"/>
          </w:tcPr>
          <w:p>
            <w:pPr>
              <w:jc w:val="left"/>
            </w:pPr>
            <w:r>
              <w:rPr>
                <w:rFonts w:ascii="Calibri" w:hAnsi="Calibri"/>
                <w:b/>
                <w:color w:val="FFFFFF"/>
                <w:sz w:val="17"/>
              </w:rPr>
              <w:t>Description &amp; Measurement Formula</w:t>
            </w:r>
          </w:p>
        </w:tc>
      </w:tr>
      <w:tr>
        <w:tc>
          <w:tcPr>
            <w:tcW w:type="dxa" w:w="1728"/>
            <w:shd w:fill="F8FAFC"/>
          </w:tcPr>
          <w:p>
            <w:pPr>
              <w:jc w:val="left"/>
            </w:pPr>
            <w:r>
              <w:rPr>
                <w:rFonts w:ascii="Calibri" w:hAnsi="Calibri"/>
                <w:b/>
                <w:color w:val="0F172A"/>
                <w:sz w:val="17"/>
              </w:rPr>
              <w:t>amount_usd</w:t>
            </w:r>
          </w:p>
        </w:tc>
        <w:tc>
          <w:tcPr>
            <w:tcW w:type="dxa" w:w="1296"/>
            <w:shd w:fill="F8FAFC"/>
          </w:tcPr>
          <w:p>
            <w:pPr>
              <w:jc w:val="left"/>
            </w:pPr>
            <w:r>
              <w:rPr>
                <w:rFonts w:ascii="Calibri" w:hAnsi="Calibri"/>
                <w:b w:val="0"/>
                <w:color w:val="0F172A"/>
                <w:sz w:val="17"/>
              </w:rPr>
              <w:t>Project 2 CSV</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Target / Raw</w:t>
            </w:r>
          </w:p>
        </w:tc>
        <w:tc>
          <w:tcPr>
            <w:tcW w:type="dxa" w:w="1584"/>
            <w:shd w:fill="F8FAFC"/>
          </w:tcPr>
          <w:p>
            <w:pPr>
              <w:jc w:val="left"/>
            </w:pPr>
            <w:r>
              <w:rPr>
                <w:rFonts w:ascii="Calibri" w:hAnsi="Calibri"/>
                <w:b w:val="0"/>
                <w:color w:val="0F172A"/>
                <w:sz w:val="17"/>
              </w:rPr>
              <w:t>Extracted numeric USD; nulls flagged</w:t>
            </w:r>
          </w:p>
        </w:tc>
        <w:tc>
          <w:tcPr>
            <w:tcW w:type="dxa" w:w="2592"/>
            <w:shd w:fill="F8FAFC"/>
          </w:tcPr>
          <w:p>
            <w:pPr>
              <w:jc w:val="left"/>
            </w:pPr>
            <w:r>
              <w:rPr>
                <w:rFonts w:ascii="Calibri" w:hAnsi="Calibri"/>
                <w:b w:val="0"/>
                <w:color w:val="0F172A"/>
                <w:sz w:val="17"/>
              </w:rPr>
              <w:t>Disclosed capital raised in the financing round ().</w:t>
            </w:r>
          </w:p>
        </w:tc>
      </w:tr>
      <w:tr>
        <w:tc>
          <w:tcPr>
            <w:tcW w:type="dxa" w:w="1728"/>
            <w:shd w:fill="FFFFFF"/>
          </w:tcPr>
          <w:p>
            <w:pPr>
              <w:jc w:val="left"/>
            </w:pPr>
            <w:r>
              <w:rPr>
                <w:rFonts w:ascii="Calibri" w:hAnsi="Calibri"/>
                <w:b/>
                <w:color w:val="0F172A"/>
                <w:sz w:val="17"/>
              </w:rPr>
              <w:t>log_amount_usd</w:t>
            </w:r>
          </w:p>
        </w:tc>
        <w:tc>
          <w:tcPr>
            <w:tcW w:type="dxa" w:w="1296"/>
            <w:shd w:fill="FFFFFF"/>
          </w:tcPr>
          <w:p>
            <w:pPr>
              <w:jc w:val="left"/>
            </w:pPr>
            <w:r>
              <w:rPr>
                <w:rFonts w:ascii="Calibri" w:hAnsi="Calibri"/>
                <w:b w:val="0"/>
                <w:color w:val="0F172A"/>
                <w:sz w:val="17"/>
              </w:rPr>
              <w:t>Engineered</w:t>
            </w:r>
          </w:p>
        </w:tc>
        <w:tc>
          <w:tcPr>
            <w:tcW w:type="dxa" w:w="1152"/>
            <w:shd w:fill="FFFFFF"/>
          </w:tcPr>
          <w:p>
            <w:pPr>
              <w:jc w:val="left"/>
            </w:pPr>
            <w:r>
              <w:rPr>
                <w:rFonts w:ascii="Calibri" w:hAnsi="Calibri"/>
                <w:b w:val="0"/>
                <w:color w:val="0F172A"/>
                <w:sz w:val="17"/>
              </w:rPr>
              <w:t>Float</w:t>
            </w:r>
          </w:p>
        </w:tc>
        <w:tc>
          <w:tcPr>
            <w:tcW w:type="dxa" w:w="1296"/>
            <w:shd w:fill="FFFFFF"/>
          </w:tcPr>
          <w:p>
            <w:pPr>
              <w:jc w:val="left"/>
            </w:pPr>
            <w:r>
              <w:rPr>
                <w:rFonts w:ascii="Calibri" w:hAnsi="Calibri"/>
                <w:b w:val="0"/>
                <w:color w:val="0F172A"/>
                <w:sz w:val="17"/>
              </w:rPr>
              <w:t>Target (Regression)</w:t>
            </w:r>
          </w:p>
        </w:tc>
        <w:tc>
          <w:tcPr>
            <w:tcW w:type="dxa" w:w="1584"/>
            <w:shd w:fill="FFFFFF"/>
          </w:tcPr>
          <w:p>
            <w:pPr>
              <w:jc w:val="left"/>
            </w:pPr>
            <w:r>
              <w:rPr>
                <w:rFonts w:ascii="Calibri" w:hAnsi="Calibri"/>
                <w:b w:val="0"/>
                <w:color w:val="0F172A"/>
                <w:sz w:val="17"/>
              </w:rPr>
              <w:t>log(amount_usd) for amount_usd &gt; 0</w:t>
            </w:r>
          </w:p>
        </w:tc>
        <w:tc>
          <w:tcPr>
            <w:tcW w:type="dxa" w:w="2592"/>
            <w:shd w:fill="FFFFFF"/>
          </w:tcPr>
          <w:p>
            <w:pPr>
              <w:jc w:val="left"/>
            </w:pPr>
            <w:r>
              <w:rPr>
                <w:rFonts w:ascii="Calibri" w:hAnsi="Calibri"/>
                <w:b w:val="0"/>
                <w:color w:val="0F172A"/>
                <w:sz w:val="17"/>
              </w:rPr>
              <w:t>Continuous regression target. Resolves heavy-tailed log-normality.</w:t>
            </w:r>
          </w:p>
        </w:tc>
      </w:tr>
      <w:tr>
        <w:tc>
          <w:tcPr>
            <w:tcW w:type="dxa" w:w="1728"/>
            <w:shd w:fill="F8FAFC"/>
          </w:tcPr>
          <w:p>
            <w:pPr>
              <w:jc w:val="left"/>
            </w:pPr>
            <w:r>
              <w:rPr>
                <w:rFonts w:ascii="Calibri" w:hAnsi="Calibri"/>
                <w:b/>
                <w:color w:val="0F172A"/>
                <w:sz w:val="17"/>
              </w:rPr>
              <w:t>graduated_next_stage</w:t>
            </w:r>
          </w:p>
        </w:tc>
        <w:tc>
          <w:tcPr>
            <w:tcW w:type="dxa" w:w="1296"/>
            <w:shd w:fill="F8FAFC"/>
          </w:tcPr>
          <w:p>
            <w:pPr>
              <w:jc w:val="left"/>
            </w:pPr>
            <w:r>
              <w:rPr>
                <w:rFonts w:ascii="Calibri" w:hAnsi="Calibri"/>
                <w:b w:val="0"/>
                <w:color w:val="0F172A"/>
                <w:sz w:val="17"/>
              </w:rPr>
              <w:t>Engineered</w:t>
            </w:r>
          </w:p>
        </w:tc>
        <w:tc>
          <w:tcPr>
            <w:tcW w:type="dxa" w:w="1152"/>
            <w:shd w:fill="F8FAFC"/>
          </w:tcPr>
          <w:p>
            <w:pPr>
              <w:jc w:val="left"/>
            </w:pPr>
            <w:r>
              <w:rPr>
                <w:rFonts w:ascii="Calibri" w:hAnsi="Calibri"/>
                <w:b w:val="0"/>
                <w:color w:val="0F172A"/>
                <w:sz w:val="17"/>
              </w:rPr>
              <w:t>Binary (0/1)</w:t>
            </w:r>
          </w:p>
        </w:tc>
        <w:tc>
          <w:tcPr>
            <w:tcW w:type="dxa" w:w="1296"/>
            <w:shd w:fill="F8FAFC"/>
          </w:tcPr>
          <w:p>
            <w:pPr>
              <w:jc w:val="left"/>
            </w:pPr>
            <w:r>
              <w:rPr>
                <w:rFonts w:ascii="Calibri" w:hAnsi="Calibri"/>
                <w:b w:val="0"/>
                <w:color w:val="0F172A"/>
                <w:sz w:val="17"/>
              </w:rPr>
              <w:t>Target (Classification)</w:t>
            </w:r>
          </w:p>
        </w:tc>
        <w:tc>
          <w:tcPr>
            <w:tcW w:type="dxa" w:w="1584"/>
            <w:shd w:fill="F8FAFC"/>
          </w:tcPr>
          <w:p>
            <w:pPr>
              <w:jc w:val="left"/>
            </w:pPr>
            <w:r>
              <w:rPr>
                <w:rFonts w:ascii="Calibri" w:hAnsi="Calibri"/>
                <w:b w:val="0"/>
                <w:color w:val="0F172A"/>
                <w:sz w:val="17"/>
              </w:rPr>
              <w:t>1 if total rounds &gt;= 2, else 0</w:t>
            </w:r>
          </w:p>
        </w:tc>
        <w:tc>
          <w:tcPr>
            <w:tcW w:type="dxa" w:w="2592"/>
            <w:shd w:fill="F8FAFC"/>
          </w:tcPr>
          <w:p>
            <w:pPr>
              <w:jc w:val="left"/>
            </w:pPr>
            <w:r>
              <w:rPr>
                <w:rFonts w:ascii="Calibri" w:hAnsi="Calibri"/>
                <w:b w:val="0"/>
                <w:color w:val="0F172A"/>
                <w:sz w:val="17"/>
              </w:rPr>
              <w:t>Classification target: indicates whether a startup graduated to follow-on rounds.</w:t>
            </w:r>
          </w:p>
        </w:tc>
      </w:tr>
      <w:tr>
        <w:tc>
          <w:tcPr>
            <w:tcW w:type="dxa" w:w="1728"/>
            <w:shd w:fill="FFFFFF"/>
          </w:tcPr>
          <w:p>
            <w:pPr>
              <w:jc w:val="left"/>
            </w:pPr>
            <w:r>
              <w:rPr>
                <w:rFonts w:ascii="Calibri" w:hAnsi="Calibri"/>
                <w:b/>
                <w:color w:val="0F172A"/>
                <w:sz w:val="17"/>
              </w:rPr>
              <w:t>round_date</w:t>
            </w:r>
          </w:p>
        </w:tc>
        <w:tc>
          <w:tcPr>
            <w:tcW w:type="dxa" w:w="1296"/>
            <w:shd w:fill="FFFFFF"/>
          </w:tcPr>
          <w:p>
            <w:pPr>
              <w:jc w:val="left"/>
            </w:pPr>
            <w:r>
              <w:rPr>
                <w:rFonts w:ascii="Calibri" w:hAnsi="Calibri"/>
                <w:b w:val="0"/>
                <w:color w:val="0F172A"/>
                <w:sz w:val="17"/>
              </w:rPr>
              <w:t>Project 2 CSV</w:t>
            </w:r>
          </w:p>
        </w:tc>
        <w:tc>
          <w:tcPr>
            <w:tcW w:type="dxa" w:w="1152"/>
            <w:shd w:fill="FFFFFF"/>
          </w:tcPr>
          <w:p>
            <w:pPr>
              <w:jc w:val="left"/>
            </w:pPr>
            <w:r>
              <w:rPr>
                <w:rFonts w:ascii="Calibri" w:hAnsi="Calibri"/>
                <w:b w:val="0"/>
                <w:color w:val="0F172A"/>
                <w:sz w:val="17"/>
              </w:rPr>
              <w:t>Datetime</w:t>
            </w:r>
          </w:p>
        </w:tc>
        <w:tc>
          <w:tcPr>
            <w:tcW w:type="dxa" w:w="1296"/>
            <w:shd w:fill="FFFFFF"/>
          </w:tcPr>
          <w:p>
            <w:pPr>
              <w:jc w:val="left"/>
            </w:pPr>
            <w:r>
              <w:rPr>
                <w:rFonts w:ascii="Calibri" w:hAnsi="Calibri"/>
                <w:b w:val="0"/>
                <w:color w:val="0F172A"/>
                <w:sz w:val="17"/>
              </w:rPr>
              <w:t>Temporal Anchor</w:t>
            </w:r>
          </w:p>
        </w:tc>
        <w:tc>
          <w:tcPr>
            <w:tcW w:type="dxa" w:w="1584"/>
            <w:shd w:fill="FFFFFF"/>
          </w:tcPr>
          <w:p>
            <w:pPr>
              <w:jc w:val="left"/>
            </w:pPr>
            <w:r>
              <w:rPr>
                <w:rFonts w:ascii="Calibri" w:hAnsi="Calibri"/>
                <w:b w:val="0"/>
                <w:color w:val="0F172A"/>
                <w:sz w:val="17"/>
              </w:rPr>
              <w:t>Regex-normalized DD/MM/YYYY</w:t>
            </w:r>
          </w:p>
        </w:tc>
        <w:tc>
          <w:tcPr>
            <w:tcW w:type="dxa" w:w="2592"/>
            <w:shd w:fill="FFFFFF"/>
          </w:tcPr>
          <w:p>
            <w:pPr>
              <w:jc w:val="left"/>
            </w:pPr>
            <w:r>
              <w:rPr>
                <w:rFonts w:ascii="Calibri" w:hAnsi="Calibri"/>
                <w:b w:val="0"/>
                <w:color w:val="0F172A"/>
                <w:sz w:val="17"/>
              </w:rPr>
              <w:t>Transaction execution date (2015-01-02 to 2020-01-13).</w:t>
            </w:r>
          </w:p>
        </w:tc>
      </w:tr>
      <w:tr>
        <w:tc>
          <w:tcPr>
            <w:tcW w:type="dxa" w:w="1728"/>
            <w:shd w:fill="F8FAFC"/>
          </w:tcPr>
          <w:p>
            <w:pPr>
              <w:jc w:val="left"/>
            </w:pPr>
            <w:r>
              <w:rPr>
                <w:rFonts w:ascii="Calibri" w:hAnsi="Calibri"/>
                <w:b/>
                <w:color w:val="0F172A"/>
                <w:sz w:val="17"/>
              </w:rPr>
              <w:t>prev_funding_usd</w:t>
            </w:r>
          </w:p>
        </w:tc>
        <w:tc>
          <w:tcPr>
            <w:tcW w:type="dxa" w:w="1296"/>
            <w:shd w:fill="F8FAFC"/>
          </w:tcPr>
          <w:p>
            <w:pPr>
              <w:jc w:val="left"/>
            </w:pPr>
            <w:r>
              <w:rPr>
                <w:rFonts w:ascii="Calibri" w:hAnsi="Calibri"/>
                <w:b w:val="0"/>
                <w:color w:val="0F172A"/>
                <w:sz w:val="17"/>
              </w:rPr>
              <w:t>Engineered</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Predictor (Track Record)</w:t>
            </w:r>
          </w:p>
        </w:tc>
        <w:tc>
          <w:tcPr>
            <w:tcW w:type="dxa" w:w="1584"/>
            <w:shd w:fill="F8FAFC"/>
          </w:tcPr>
          <w:p>
            <w:pPr>
              <w:jc w:val="left"/>
            </w:pPr>
            <w:r>
              <w:rPr>
                <w:rFonts w:ascii="Calibri" w:hAnsi="Calibri"/>
                <w:b w:val="0"/>
                <w:color w:val="0F172A"/>
                <w:sz w:val="17"/>
              </w:rPr>
              <w:t>Cumulative sum prior to current date</w:t>
            </w:r>
          </w:p>
        </w:tc>
        <w:tc>
          <w:tcPr>
            <w:tcW w:type="dxa" w:w="2592"/>
            <w:shd w:fill="F8FAFC"/>
          </w:tcPr>
          <w:p>
            <w:pPr>
              <w:jc w:val="left"/>
            </w:pPr>
            <w:r>
              <w:rPr>
                <w:rFonts w:ascii="Calibri" w:hAnsi="Calibri"/>
                <w:b w:val="0"/>
                <w:color w:val="0F172A"/>
                <w:sz w:val="17"/>
              </w:rPr>
              <w:t>Total capital () raised across all preceding rounds.</w:t>
            </w:r>
          </w:p>
        </w:tc>
      </w:tr>
      <w:tr>
        <w:tc>
          <w:tcPr>
            <w:tcW w:type="dxa" w:w="1728"/>
            <w:shd w:fill="FFFFFF"/>
          </w:tcPr>
          <w:p>
            <w:pPr>
              <w:jc w:val="left"/>
            </w:pPr>
            <w:r>
              <w:rPr>
                <w:rFonts w:ascii="Calibri" w:hAnsi="Calibri"/>
                <w:b/>
                <w:color w:val="0F172A"/>
                <w:sz w:val="17"/>
              </w:rPr>
              <w:t>log_prev_funding</w:t>
            </w:r>
          </w:p>
        </w:tc>
        <w:tc>
          <w:tcPr>
            <w:tcW w:type="dxa" w:w="1296"/>
            <w:shd w:fill="FFFFFF"/>
          </w:tcPr>
          <w:p>
            <w:pPr>
              <w:jc w:val="left"/>
            </w:pPr>
            <w:r>
              <w:rPr>
                <w:rFonts w:ascii="Calibri" w:hAnsi="Calibri"/>
                <w:b w:val="0"/>
                <w:color w:val="0F172A"/>
                <w:sz w:val="17"/>
              </w:rPr>
              <w:t>Engineered</w:t>
            </w:r>
          </w:p>
        </w:tc>
        <w:tc>
          <w:tcPr>
            <w:tcW w:type="dxa" w:w="1152"/>
            <w:shd w:fill="FFFFFF"/>
          </w:tcPr>
          <w:p>
            <w:pPr>
              <w:jc w:val="left"/>
            </w:pPr>
            <w:r>
              <w:rPr>
                <w:rFonts w:ascii="Calibri" w:hAnsi="Calibri"/>
                <w:b w:val="0"/>
                <w:color w:val="0F172A"/>
                <w:sz w:val="17"/>
              </w:rPr>
              <w:t>Float</w:t>
            </w:r>
          </w:p>
        </w:tc>
        <w:tc>
          <w:tcPr>
            <w:tcW w:type="dxa" w:w="1296"/>
            <w:shd w:fill="FFFFFF"/>
          </w:tcPr>
          <w:p>
            <w:pPr>
              <w:jc w:val="left"/>
            </w:pPr>
            <w:r>
              <w:rPr>
                <w:rFonts w:ascii="Calibri" w:hAnsi="Calibri"/>
                <w:b w:val="0"/>
                <w:color w:val="0F172A"/>
                <w:sz w:val="17"/>
              </w:rPr>
              <w:t>Predictor (Track Record)</w:t>
            </w:r>
          </w:p>
        </w:tc>
        <w:tc>
          <w:tcPr>
            <w:tcW w:type="dxa" w:w="1584"/>
            <w:shd w:fill="FFFFFF"/>
          </w:tcPr>
          <w:p>
            <w:pPr>
              <w:jc w:val="left"/>
            </w:pPr>
            <w:r>
              <w:rPr>
                <w:rFonts w:ascii="Calibri" w:hAnsi="Calibri"/>
                <w:b w:val="0"/>
                <w:color w:val="0F172A"/>
                <w:sz w:val="17"/>
              </w:rPr>
              <w:t>log(1 + prev_funding_usd)</w:t>
            </w:r>
          </w:p>
        </w:tc>
        <w:tc>
          <w:tcPr>
            <w:tcW w:type="dxa" w:w="2592"/>
            <w:shd w:fill="FFFFFF"/>
          </w:tcPr>
          <w:p>
            <w:pPr>
              <w:jc w:val="left"/>
            </w:pPr>
            <w:r>
              <w:rPr>
                <w:rFonts w:ascii="Calibri" w:hAnsi="Calibri"/>
                <w:b w:val="0"/>
                <w:color w:val="0F172A"/>
                <w:sz w:val="17"/>
              </w:rPr>
              <w:t>Log-transformed prior cumulative capital to stabilize variance.</w:t>
            </w:r>
          </w:p>
        </w:tc>
      </w:tr>
      <w:tr>
        <w:tc>
          <w:tcPr>
            <w:tcW w:type="dxa" w:w="1728"/>
            <w:shd w:fill="F8FAFC"/>
          </w:tcPr>
          <w:p>
            <w:pPr>
              <w:jc w:val="left"/>
            </w:pPr>
            <w:r>
              <w:rPr>
                <w:rFonts w:ascii="Calibri" w:hAnsi="Calibri"/>
                <w:b/>
                <w:color w:val="0F172A"/>
                <w:sz w:val="17"/>
              </w:rPr>
              <w:t>prev_round_size</w:t>
            </w:r>
          </w:p>
        </w:tc>
        <w:tc>
          <w:tcPr>
            <w:tcW w:type="dxa" w:w="1296"/>
            <w:shd w:fill="F8FAFC"/>
          </w:tcPr>
          <w:p>
            <w:pPr>
              <w:jc w:val="left"/>
            </w:pPr>
            <w:r>
              <w:rPr>
                <w:rFonts w:ascii="Calibri" w:hAnsi="Calibri"/>
                <w:b w:val="0"/>
                <w:color w:val="0F172A"/>
                <w:sz w:val="17"/>
              </w:rPr>
              <w:t>Engineered</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Predictor (Track Record)</w:t>
            </w:r>
          </w:p>
        </w:tc>
        <w:tc>
          <w:tcPr>
            <w:tcW w:type="dxa" w:w="1584"/>
            <w:shd w:fill="F8FAFC"/>
          </w:tcPr>
          <w:p>
            <w:pPr>
              <w:jc w:val="left"/>
            </w:pPr>
            <w:r>
              <w:rPr>
                <w:rFonts w:ascii="Calibri" w:hAnsi="Calibri"/>
                <w:b w:val="0"/>
                <w:color w:val="0F172A"/>
                <w:sz w:val="17"/>
              </w:rPr>
              <w:t>Lagged amount of immediate prior round</w:t>
            </w:r>
          </w:p>
        </w:tc>
        <w:tc>
          <w:tcPr>
            <w:tcW w:type="dxa" w:w="2592"/>
            <w:shd w:fill="F8FAFC"/>
          </w:tcPr>
          <w:p>
            <w:pPr>
              <w:jc w:val="left"/>
            </w:pPr>
            <w:r>
              <w:rPr>
                <w:rFonts w:ascii="Calibri" w:hAnsi="Calibri"/>
                <w:b w:val="0"/>
                <w:color w:val="0F172A"/>
                <w:sz w:val="17"/>
              </w:rPr>
              <w:t>Capital raised in the immediate preceding round (; 0 for round 1).</w:t>
            </w:r>
          </w:p>
        </w:tc>
      </w:tr>
      <w:tr>
        <w:tc>
          <w:tcPr>
            <w:tcW w:type="dxa" w:w="1728"/>
            <w:shd w:fill="FFFFFF"/>
          </w:tcPr>
          <w:p>
            <w:pPr>
              <w:jc w:val="left"/>
            </w:pPr>
            <w:r>
              <w:rPr>
                <w:rFonts w:ascii="Calibri" w:hAnsi="Calibri"/>
                <w:b/>
                <w:color w:val="0F172A"/>
                <w:sz w:val="17"/>
              </w:rPr>
              <w:t>num_prev_rounds</w:t>
            </w:r>
          </w:p>
        </w:tc>
        <w:tc>
          <w:tcPr>
            <w:tcW w:type="dxa" w:w="1296"/>
            <w:shd w:fill="FFFFFF"/>
          </w:tcPr>
          <w:p>
            <w:pPr>
              <w:jc w:val="left"/>
            </w:pPr>
            <w:r>
              <w:rPr>
                <w:rFonts w:ascii="Calibri" w:hAnsi="Calibri"/>
                <w:b w:val="0"/>
                <w:color w:val="0F172A"/>
                <w:sz w:val="17"/>
              </w:rPr>
              <w:t>Engineered</w:t>
            </w:r>
          </w:p>
        </w:tc>
        <w:tc>
          <w:tcPr>
            <w:tcW w:type="dxa" w:w="1152"/>
            <w:shd w:fill="FFFFFF"/>
          </w:tcPr>
          <w:p>
            <w:pPr>
              <w:jc w:val="left"/>
            </w:pPr>
            <w:r>
              <w:rPr>
                <w:rFonts w:ascii="Calibri" w:hAnsi="Calibri"/>
                <w:b w:val="0"/>
                <w:color w:val="0F172A"/>
                <w:sz w:val="17"/>
              </w:rPr>
              <w:t>Integer</w:t>
            </w:r>
          </w:p>
        </w:tc>
        <w:tc>
          <w:tcPr>
            <w:tcW w:type="dxa" w:w="1296"/>
            <w:shd w:fill="FFFFFF"/>
          </w:tcPr>
          <w:p>
            <w:pPr>
              <w:jc w:val="left"/>
            </w:pPr>
            <w:r>
              <w:rPr>
                <w:rFonts w:ascii="Calibri" w:hAnsi="Calibri"/>
                <w:b w:val="0"/>
                <w:color w:val="0F172A"/>
                <w:sz w:val="17"/>
              </w:rPr>
              <w:t>Predictor (Track Record)</w:t>
            </w:r>
          </w:p>
        </w:tc>
        <w:tc>
          <w:tcPr>
            <w:tcW w:type="dxa" w:w="1584"/>
            <w:shd w:fill="FFFFFF"/>
          </w:tcPr>
          <w:p>
            <w:pPr>
              <w:jc w:val="left"/>
            </w:pPr>
            <w:r>
              <w:rPr>
                <w:rFonts w:ascii="Calibri" w:hAnsi="Calibri"/>
                <w:b w:val="0"/>
                <w:color w:val="0F172A"/>
                <w:sz w:val="17"/>
              </w:rPr>
              <w:t>Sequence count of prior rounds</w:t>
            </w:r>
          </w:p>
        </w:tc>
        <w:tc>
          <w:tcPr>
            <w:tcW w:type="dxa" w:w="2592"/>
            <w:shd w:fill="FFFFFF"/>
          </w:tcPr>
          <w:p>
            <w:pPr>
              <w:jc w:val="left"/>
            </w:pPr>
            <w:r>
              <w:rPr>
                <w:rFonts w:ascii="Calibri" w:hAnsi="Calibri"/>
                <w:b w:val="0"/>
                <w:color w:val="0F172A"/>
                <w:sz w:val="17"/>
              </w:rPr>
              <w:t>Count of completed financing rounds prior to current round.</w:t>
            </w:r>
          </w:p>
        </w:tc>
      </w:tr>
      <w:tr>
        <w:tc>
          <w:tcPr>
            <w:tcW w:type="dxa" w:w="1728"/>
            <w:shd w:fill="F8FAFC"/>
          </w:tcPr>
          <w:p>
            <w:pPr>
              <w:jc w:val="left"/>
            </w:pPr>
            <w:r>
              <w:rPr>
                <w:rFonts w:ascii="Calibri" w:hAnsi="Calibri"/>
                <w:b/>
                <w:color w:val="0F172A"/>
                <w:sz w:val="17"/>
              </w:rPr>
              <w:t>days_since_prev_round</w:t>
            </w:r>
          </w:p>
        </w:tc>
        <w:tc>
          <w:tcPr>
            <w:tcW w:type="dxa" w:w="1296"/>
            <w:shd w:fill="F8FAFC"/>
          </w:tcPr>
          <w:p>
            <w:pPr>
              <w:jc w:val="left"/>
            </w:pPr>
            <w:r>
              <w:rPr>
                <w:rFonts w:ascii="Calibri" w:hAnsi="Calibri"/>
                <w:b w:val="0"/>
                <w:color w:val="0F172A"/>
                <w:sz w:val="17"/>
              </w:rPr>
              <w:t>Engineered</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Predictor (Track Record)</w:t>
            </w:r>
          </w:p>
        </w:tc>
        <w:tc>
          <w:tcPr>
            <w:tcW w:type="dxa" w:w="1584"/>
            <w:shd w:fill="F8FAFC"/>
          </w:tcPr>
          <w:p>
            <w:pPr>
              <w:jc w:val="left"/>
            </w:pPr>
            <w:r>
              <w:rPr>
                <w:rFonts w:ascii="Calibri" w:hAnsi="Calibri"/>
                <w:b w:val="0"/>
                <w:color w:val="0F172A"/>
                <w:sz w:val="17"/>
              </w:rPr>
              <w:t>Date delta in days; -1 for round 1</w:t>
            </w:r>
          </w:p>
        </w:tc>
        <w:tc>
          <w:tcPr>
            <w:tcW w:type="dxa" w:w="2592"/>
            <w:shd w:fill="F8FAFC"/>
          </w:tcPr>
          <w:p>
            <w:pPr>
              <w:jc w:val="left"/>
            </w:pPr>
            <w:r>
              <w:rPr>
                <w:rFonts w:ascii="Calibri" w:hAnsi="Calibri"/>
                <w:b w:val="0"/>
                <w:color w:val="0F172A"/>
                <w:sz w:val="17"/>
              </w:rPr>
              <w:t>Financing runway gap: days elapsed since previous funding event.</w:t>
            </w:r>
          </w:p>
        </w:tc>
      </w:tr>
      <w:tr>
        <w:tc>
          <w:tcPr>
            <w:tcW w:type="dxa" w:w="1728"/>
            <w:shd w:fill="FFFFFF"/>
          </w:tcPr>
          <w:p>
            <w:pPr>
              <w:jc w:val="left"/>
            </w:pPr>
            <w:r>
              <w:rPr>
                <w:rFonts w:ascii="Calibri" w:hAnsi="Calibri"/>
                <w:b/>
                <w:color w:val="0F172A"/>
                <w:sz w:val="17"/>
              </w:rPr>
              <w:t>is_first_round</w:t>
            </w:r>
          </w:p>
        </w:tc>
        <w:tc>
          <w:tcPr>
            <w:tcW w:type="dxa" w:w="1296"/>
            <w:shd w:fill="FFFFFF"/>
          </w:tcPr>
          <w:p>
            <w:pPr>
              <w:jc w:val="left"/>
            </w:pPr>
            <w:r>
              <w:rPr>
                <w:rFonts w:ascii="Calibri" w:hAnsi="Calibri"/>
                <w:b w:val="0"/>
                <w:color w:val="0F172A"/>
                <w:sz w:val="17"/>
              </w:rPr>
              <w:t>Engineered</w:t>
            </w:r>
          </w:p>
        </w:tc>
        <w:tc>
          <w:tcPr>
            <w:tcW w:type="dxa" w:w="1152"/>
            <w:shd w:fill="FFFFFF"/>
          </w:tcPr>
          <w:p>
            <w:pPr>
              <w:jc w:val="left"/>
            </w:pPr>
            <w:r>
              <w:rPr>
                <w:rFonts w:ascii="Calibri" w:hAnsi="Calibri"/>
                <w:b w:val="0"/>
                <w:color w:val="0F172A"/>
                <w:sz w:val="17"/>
              </w:rPr>
              <w:t>Binary (0/1)</w:t>
            </w:r>
          </w:p>
        </w:tc>
        <w:tc>
          <w:tcPr>
            <w:tcW w:type="dxa" w:w="1296"/>
            <w:shd w:fill="FFFFFF"/>
          </w:tcPr>
          <w:p>
            <w:pPr>
              <w:jc w:val="left"/>
            </w:pPr>
            <w:r>
              <w:rPr>
                <w:rFonts w:ascii="Calibri" w:hAnsi="Calibri"/>
                <w:b w:val="0"/>
                <w:color w:val="0F172A"/>
                <w:sz w:val="17"/>
              </w:rPr>
              <w:t>Predictor (Track Record)</w:t>
            </w:r>
          </w:p>
        </w:tc>
        <w:tc>
          <w:tcPr>
            <w:tcW w:type="dxa" w:w="1584"/>
            <w:shd w:fill="FFFFFF"/>
          </w:tcPr>
          <w:p>
            <w:pPr>
              <w:jc w:val="left"/>
            </w:pPr>
            <w:r>
              <w:rPr>
                <w:rFonts w:ascii="Calibri" w:hAnsi="Calibri"/>
                <w:b w:val="0"/>
                <w:color w:val="0F172A"/>
                <w:sz w:val="17"/>
              </w:rPr>
              <w:t>1 if num_prev_rounds == 0, else 0</w:t>
            </w:r>
          </w:p>
        </w:tc>
        <w:tc>
          <w:tcPr>
            <w:tcW w:type="dxa" w:w="2592"/>
            <w:shd w:fill="FFFFFF"/>
          </w:tcPr>
          <w:p>
            <w:pPr>
              <w:jc w:val="left"/>
            </w:pPr>
            <w:r>
              <w:rPr>
                <w:rFonts w:ascii="Calibri" w:hAnsi="Calibri"/>
                <w:b w:val="0"/>
                <w:color w:val="0F172A"/>
                <w:sz w:val="17"/>
              </w:rPr>
              <w:t>Binary indicator capturing inaugural financing events.</w:t>
            </w:r>
          </w:p>
        </w:tc>
      </w:tr>
      <w:tr>
        <w:tc>
          <w:tcPr>
            <w:tcW w:type="dxa" w:w="1728"/>
            <w:shd w:fill="F8FAFC"/>
          </w:tcPr>
          <w:p>
            <w:pPr>
              <w:jc w:val="left"/>
            </w:pPr>
            <w:r>
              <w:rPr>
                <w:rFonts w:ascii="Calibri" w:hAnsi="Calibri"/>
                <w:b/>
                <w:color w:val="0F172A"/>
                <w:sz w:val="17"/>
              </w:rPr>
              <w:t>startup_age_days</w:t>
            </w:r>
          </w:p>
        </w:tc>
        <w:tc>
          <w:tcPr>
            <w:tcW w:type="dxa" w:w="1296"/>
            <w:shd w:fill="F8FAFC"/>
          </w:tcPr>
          <w:p>
            <w:pPr>
              <w:jc w:val="left"/>
            </w:pPr>
            <w:r>
              <w:rPr>
                <w:rFonts w:ascii="Calibri" w:hAnsi="Calibri"/>
                <w:b w:val="0"/>
                <w:color w:val="0F172A"/>
                <w:sz w:val="17"/>
              </w:rPr>
              <w:t>Engineered</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Predictor (Operational)</w:t>
            </w:r>
          </w:p>
        </w:tc>
        <w:tc>
          <w:tcPr>
            <w:tcW w:type="dxa" w:w="1584"/>
            <w:shd w:fill="F8FAFC"/>
          </w:tcPr>
          <w:p>
            <w:pPr>
              <w:jc w:val="left"/>
            </w:pPr>
            <w:r>
              <w:rPr>
                <w:rFonts w:ascii="Calibri" w:hAnsi="Calibri"/>
                <w:b w:val="0"/>
                <w:color w:val="0F172A"/>
                <w:sz w:val="17"/>
              </w:rPr>
              <w:t>Date delta from first observed round</w:t>
            </w:r>
          </w:p>
        </w:tc>
        <w:tc>
          <w:tcPr>
            <w:tcW w:type="dxa" w:w="2592"/>
            <w:shd w:fill="F8FAFC"/>
          </w:tcPr>
          <w:p>
            <w:pPr>
              <w:jc w:val="left"/>
            </w:pPr>
            <w:r>
              <w:rPr>
                <w:rFonts w:ascii="Calibri" w:hAnsi="Calibri"/>
                <w:b w:val="0"/>
                <w:color w:val="0F172A"/>
                <w:sz w:val="17"/>
              </w:rPr>
              <w:t>Operational maturity in days at the time of the term sheet.</w:t>
            </w:r>
          </w:p>
        </w:tc>
      </w:tr>
      <w:tr>
        <w:tc>
          <w:tcPr>
            <w:tcW w:type="dxa" w:w="1728"/>
            <w:shd w:fill="FFFFFF"/>
          </w:tcPr>
          <w:p>
            <w:pPr>
              <w:jc w:val="left"/>
            </w:pPr>
            <w:r>
              <w:rPr>
                <w:rFonts w:ascii="Calibri" w:hAnsi="Calibri"/>
                <w:b/>
                <w:color w:val="0F172A"/>
                <w:sz w:val="17"/>
              </w:rPr>
              <w:t>sector_clean</w:t>
            </w:r>
          </w:p>
        </w:tc>
        <w:tc>
          <w:tcPr>
            <w:tcW w:type="dxa" w:w="1296"/>
            <w:shd w:fill="FFFFFF"/>
          </w:tcPr>
          <w:p>
            <w:pPr>
              <w:jc w:val="left"/>
            </w:pPr>
            <w:r>
              <w:rPr>
                <w:rFonts w:ascii="Calibri" w:hAnsi="Calibri"/>
                <w:b w:val="0"/>
                <w:color w:val="0F172A"/>
                <w:sz w:val="17"/>
              </w:rPr>
              <w:t>Project 2 CSV</w:t>
            </w:r>
          </w:p>
        </w:tc>
        <w:tc>
          <w:tcPr>
            <w:tcW w:type="dxa" w:w="1152"/>
            <w:shd w:fill="FFFFFF"/>
          </w:tcPr>
          <w:p>
            <w:pPr>
              <w:jc w:val="left"/>
            </w:pPr>
            <w:r>
              <w:rPr>
                <w:rFonts w:ascii="Calibri" w:hAnsi="Calibri"/>
                <w:b w:val="0"/>
                <w:color w:val="0F172A"/>
                <w:sz w:val="17"/>
              </w:rPr>
              <w:t>Categorical</w:t>
            </w:r>
          </w:p>
        </w:tc>
        <w:tc>
          <w:tcPr>
            <w:tcW w:type="dxa" w:w="1296"/>
            <w:shd w:fill="FFFFFF"/>
          </w:tcPr>
          <w:p>
            <w:pPr>
              <w:jc w:val="left"/>
            </w:pPr>
            <w:r>
              <w:rPr>
                <w:rFonts w:ascii="Calibri" w:hAnsi="Calibri"/>
                <w:b w:val="0"/>
                <w:color w:val="0F172A"/>
                <w:sz w:val="17"/>
              </w:rPr>
              <w:t>Predictor (Demographic)</w:t>
            </w:r>
          </w:p>
        </w:tc>
        <w:tc>
          <w:tcPr>
            <w:tcW w:type="dxa" w:w="1584"/>
            <w:shd w:fill="FFFFFF"/>
          </w:tcPr>
          <w:p>
            <w:pPr>
              <w:jc w:val="left"/>
            </w:pPr>
            <w:r>
              <w:rPr>
                <w:rFonts w:ascii="Calibri" w:hAnsi="Calibri"/>
                <w:b w:val="0"/>
                <w:color w:val="0F172A"/>
                <w:sz w:val="17"/>
              </w:rPr>
              <w:t>One-hot encoded (8 sectors)</w:t>
            </w:r>
          </w:p>
        </w:tc>
        <w:tc>
          <w:tcPr>
            <w:tcW w:type="dxa" w:w="2592"/>
            <w:shd w:fill="FFFFFF"/>
          </w:tcPr>
          <w:p>
            <w:pPr>
              <w:jc w:val="left"/>
            </w:pPr>
            <w:r>
              <w:rPr>
                <w:rFonts w:ascii="Calibri" w:hAnsi="Calibri"/>
                <w:b w:val="0"/>
                <w:color w:val="0F172A"/>
                <w:sz w:val="17"/>
              </w:rPr>
              <w:t>Consolidated vertical: FinTech, E-Commerce, EdTech, Healthcare, Logistics, SaaS, Consumer, Food.</w:t>
            </w:r>
          </w:p>
        </w:tc>
      </w:tr>
      <w:tr>
        <w:tc>
          <w:tcPr>
            <w:tcW w:type="dxa" w:w="1728"/>
            <w:shd w:fill="F8FAFC"/>
          </w:tcPr>
          <w:p>
            <w:pPr>
              <w:jc w:val="left"/>
            </w:pPr>
            <w:r>
              <w:rPr>
                <w:rFonts w:ascii="Calibri" w:hAnsi="Calibri"/>
                <w:b/>
                <w:color w:val="0F172A"/>
                <w:sz w:val="17"/>
              </w:rPr>
              <w:t>hub_clean</w:t>
            </w:r>
          </w:p>
        </w:tc>
        <w:tc>
          <w:tcPr>
            <w:tcW w:type="dxa" w:w="1296"/>
            <w:shd w:fill="F8FAFC"/>
          </w:tcPr>
          <w:p>
            <w:pPr>
              <w:jc w:val="left"/>
            </w:pPr>
            <w:r>
              <w:rPr>
                <w:rFonts w:ascii="Calibri" w:hAnsi="Calibri"/>
                <w:b w:val="0"/>
                <w:color w:val="0F172A"/>
                <w:sz w:val="17"/>
              </w:rPr>
              <w:t>Project 2 CSV</w:t>
            </w:r>
          </w:p>
        </w:tc>
        <w:tc>
          <w:tcPr>
            <w:tcW w:type="dxa" w:w="1152"/>
            <w:shd w:fill="F8FAFC"/>
          </w:tcPr>
          <w:p>
            <w:pPr>
              <w:jc w:val="left"/>
            </w:pPr>
            <w:r>
              <w:rPr>
                <w:rFonts w:ascii="Calibri" w:hAnsi="Calibri"/>
                <w:b w:val="0"/>
                <w:color w:val="0F172A"/>
                <w:sz w:val="17"/>
              </w:rPr>
              <w:t>Categorical</w:t>
            </w:r>
          </w:p>
        </w:tc>
        <w:tc>
          <w:tcPr>
            <w:tcW w:type="dxa" w:w="1296"/>
            <w:shd w:fill="F8FAFC"/>
          </w:tcPr>
          <w:p>
            <w:pPr>
              <w:jc w:val="left"/>
            </w:pPr>
            <w:r>
              <w:rPr>
                <w:rFonts w:ascii="Calibri" w:hAnsi="Calibri"/>
                <w:b w:val="0"/>
                <w:color w:val="0F172A"/>
                <w:sz w:val="17"/>
              </w:rPr>
              <w:t>Predictor (Demographic)</w:t>
            </w:r>
          </w:p>
        </w:tc>
        <w:tc>
          <w:tcPr>
            <w:tcW w:type="dxa" w:w="1584"/>
            <w:shd w:fill="F8FAFC"/>
          </w:tcPr>
          <w:p>
            <w:pPr>
              <w:jc w:val="left"/>
            </w:pPr>
            <w:r>
              <w:rPr>
                <w:rFonts w:ascii="Calibri" w:hAnsi="Calibri"/>
                <w:b w:val="0"/>
                <w:color w:val="0F172A"/>
                <w:sz w:val="17"/>
              </w:rPr>
              <w:t>One-hot encoded (8 hubs)</w:t>
            </w:r>
          </w:p>
        </w:tc>
        <w:tc>
          <w:tcPr>
            <w:tcW w:type="dxa" w:w="2592"/>
            <w:shd w:fill="F8FAFC"/>
          </w:tcPr>
          <w:p>
            <w:pPr>
              <w:jc w:val="left"/>
            </w:pPr>
            <w:r>
              <w:rPr>
                <w:rFonts w:ascii="Calibri" w:hAnsi="Calibri"/>
                <w:b w:val="0"/>
                <w:color w:val="0F172A"/>
                <w:sz w:val="17"/>
              </w:rPr>
              <w:t>Geographic cluster: Bengaluru, Delhi-NCR, Mumbai, Pune, Hyderabad, Chennai, Tier-2.</w:t>
            </w:r>
          </w:p>
        </w:tc>
      </w:tr>
      <w:tr>
        <w:tc>
          <w:tcPr>
            <w:tcW w:type="dxa" w:w="1728"/>
            <w:shd w:fill="FFFFFF"/>
          </w:tcPr>
          <w:p>
            <w:pPr>
              <w:jc w:val="left"/>
            </w:pPr>
            <w:r>
              <w:rPr>
                <w:rFonts w:ascii="Calibri" w:hAnsi="Calibri"/>
                <w:b/>
                <w:color w:val="0F172A"/>
                <w:sz w:val="17"/>
              </w:rPr>
              <w:t>stage_clean</w:t>
            </w:r>
          </w:p>
        </w:tc>
        <w:tc>
          <w:tcPr>
            <w:tcW w:type="dxa" w:w="1296"/>
            <w:shd w:fill="FFFFFF"/>
          </w:tcPr>
          <w:p>
            <w:pPr>
              <w:jc w:val="left"/>
            </w:pPr>
            <w:r>
              <w:rPr>
                <w:rFonts w:ascii="Calibri" w:hAnsi="Calibri"/>
                <w:b w:val="0"/>
                <w:color w:val="0F172A"/>
                <w:sz w:val="17"/>
              </w:rPr>
              <w:t>Project 2 CSV</w:t>
            </w:r>
          </w:p>
        </w:tc>
        <w:tc>
          <w:tcPr>
            <w:tcW w:type="dxa" w:w="1152"/>
            <w:shd w:fill="FFFFFF"/>
          </w:tcPr>
          <w:p>
            <w:pPr>
              <w:jc w:val="left"/>
            </w:pPr>
            <w:r>
              <w:rPr>
                <w:rFonts w:ascii="Calibri" w:hAnsi="Calibri"/>
                <w:b w:val="0"/>
                <w:color w:val="0F172A"/>
                <w:sz w:val="17"/>
              </w:rPr>
              <w:t>Categorical</w:t>
            </w:r>
          </w:p>
        </w:tc>
        <w:tc>
          <w:tcPr>
            <w:tcW w:type="dxa" w:w="1296"/>
            <w:shd w:fill="FFFFFF"/>
          </w:tcPr>
          <w:p>
            <w:pPr>
              <w:jc w:val="left"/>
            </w:pPr>
            <w:r>
              <w:rPr>
                <w:rFonts w:ascii="Calibri" w:hAnsi="Calibri"/>
                <w:b w:val="0"/>
                <w:color w:val="0F172A"/>
                <w:sz w:val="17"/>
              </w:rPr>
              <w:t>Predictor (Demographic)</w:t>
            </w:r>
          </w:p>
        </w:tc>
        <w:tc>
          <w:tcPr>
            <w:tcW w:type="dxa" w:w="1584"/>
            <w:shd w:fill="FFFFFF"/>
          </w:tcPr>
          <w:p>
            <w:pPr>
              <w:jc w:val="left"/>
            </w:pPr>
            <w:r>
              <w:rPr>
                <w:rFonts w:ascii="Calibri" w:hAnsi="Calibri"/>
                <w:b w:val="0"/>
                <w:color w:val="0F172A"/>
                <w:sz w:val="17"/>
              </w:rPr>
              <w:t>One-hot encoded (8 stages)</w:t>
            </w:r>
          </w:p>
        </w:tc>
        <w:tc>
          <w:tcPr>
            <w:tcW w:type="dxa" w:w="2592"/>
            <w:shd w:fill="FFFFFF"/>
          </w:tcPr>
          <w:p>
            <w:pPr>
              <w:jc w:val="left"/>
            </w:pPr>
            <w:r>
              <w:rPr>
                <w:rFonts w:ascii="Calibri" w:hAnsi="Calibri"/>
                <w:b w:val="0"/>
                <w:color w:val="0F172A"/>
                <w:sz w:val="17"/>
              </w:rPr>
              <w:t>Standardized stage: Seed/Angel, Pre-Series A, Series A, Series B, Series C, Late Stage (C+), PE, Debt.</w:t>
            </w:r>
          </w:p>
        </w:tc>
      </w:tr>
      <w:tr>
        <w:tc>
          <w:tcPr>
            <w:tcW w:type="dxa" w:w="1728"/>
            <w:shd w:fill="F8FAFC"/>
          </w:tcPr>
          <w:p>
            <w:pPr>
              <w:jc w:val="left"/>
            </w:pPr>
            <w:r>
              <w:rPr>
                <w:rFonts w:ascii="Calibri" w:hAnsi="Calibri"/>
                <w:b/>
                <w:color w:val="0F172A"/>
                <w:sz w:val="17"/>
              </w:rPr>
              <w:t>num_investors</w:t>
            </w:r>
          </w:p>
        </w:tc>
        <w:tc>
          <w:tcPr>
            <w:tcW w:type="dxa" w:w="1296"/>
            <w:shd w:fill="F8FAFC"/>
          </w:tcPr>
          <w:p>
            <w:pPr>
              <w:jc w:val="left"/>
            </w:pPr>
            <w:r>
              <w:rPr>
                <w:rFonts w:ascii="Calibri" w:hAnsi="Calibri"/>
                <w:b w:val="0"/>
                <w:color w:val="0F172A"/>
                <w:sz w:val="17"/>
              </w:rPr>
              <w:t>Project 2 CSV</w:t>
            </w:r>
          </w:p>
        </w:tc>
        <w:tc>
          <w:tcPr>
            <w:tcW w:type="dxa" w:w="1152"/>
            <w:shd w:fill="F8FAFC"/>
          </w:tcPr>
          <w:p>
            <w:pPr>
              <w:jc w:val="left"/>
            </w:pPr>
            <w:r>
              <w:rPr>
                <w:rFonts w:ascii="Calibri" w:hAnsi="Calibri"/>
                <w:b w:val="0"/>
                <w:color w:val="0F172A"/>
                <w:sz w:val="17"/>
              </w:rPr>
              <w:t>Integer</w:t>
            </w:r>
          </w:p>
        </w:tc>
        <w:tc>
          <w:tcPr>
            <w:tcW w:type="dxa" w:w="1296"/>
            <w:shd w:fill="F8FAFC"/>
          </w:tcPr>
          <w:p>
            <w:pPr>
              <w:jc w:val="left"/>
            </w:pPr>
            <w:r>
              <w:rPr>
                <w:rFonts w:ascii="Calibri" w:hAnsi="Calibri"/>
                <w:b w:val="0"/>
                <w:color w:val="0F172A"/>
                <w:sz w:val="17"/>
              </w:rPr>
              <w:t>Predictor (Syndicate)</w:t>
            </w:r>
          </w:p>
        </w:tc>
        <w:tc>
          <w:tcPr>
            <w:tcW w:type="dxa" w:w="1584"/>
            <w:shd w:fill="F8FAFC"/>
          </w:tcPr>
          <w:p>
            <w:pPr>
              <w:jc w:val="left"/>
            </w:pPr>
            <w:r>
              <w:rPr>
                <w:rFonts w:ascii="Calibri" w:hAnsi="Calibri"/>
                <w:b w:val="0"/>
                <w:color w:val="0F172A"/>
                <w:sz w:val="17"/>
              </w:rPr>
              <w:t>Count of comma-delimited names</w:t>
            </w:r>
          </w:p>
        </w:tc>
        <w:tc>
          <w:tcPr>
            <w:tcW w:type="dxa" w:w="2592"/>
            <w:shd w:fill="F8FAFC"/>
          </w:tcPr>
          <w:p>
            <w:pPr>
              <w:jc w:val="left"/>
            </w:pPr>
            <w:r>
              <w:rPr>
                <w:rFonts w:ascii="Calibri" w:hAnsi="Calibri"/>
                <w:b w:val="0"/>
                <w:color w:val="0F172A"/>
                <w:sz w:val="17"/>
              </w:rPr>
              <w:t>Number of participating investors co-investing in the current round.</w:t>
            </w:r>
          </w:p>
        </w:tc>
      </w:tr>
      <w:tr>
        <w:tc>
          <w:tcPr>
            <w:tcW w:type="dxa" w:w="1728"/>
            <w:shd w:fill="FFFFFF"/>
          </w:tcPr>
          <w:p>
            <w:pPr>
              <w:jc w:val="left"/>
            </w:pPr>
            <w:r>
              <w:rPr>
                <w:rFonts w:ascii="Calibri" w:hAnsi="Calibri"/>
                <w:b/>
                <w:color w:val="0F172A"/>
                <w:sz w:val="17"/>
              </w:rPr>
              <w:t>lead_inv_degree</w:t>
            </w:r>
          </w:p>
        </w:tc>
        <w:tc>
          <w:tcPr>
            <w:tcW w:type="dxa" w:w="1296"/>
            <w:shd w:fill="FFFFFF"/>
          </w:tcPr>
          <w:p>
            <w:pPr>
              <w:jc w:val="left"/>
            </w:pPr>
            <w:r>
              <w:rPr>
                <w:rFonts w:ascii="Calibri" w:hAnsi="Calibri"/>
                <w:b w:val="0"/>
                <w:color w:val="0F172A"/>
                <w:sz w:val="17"/>
              </w:rPr>
              <w:t>Project 1 Graph</w:t>
            </w:r>
          </w:p>
        </w:tc>
        <w:tc>
          <w:tcPr>
            <w:tcW w:type="dxa" w:w="1152"/>
            <w:shd w:fill="FFFFFF"/>
          </w:tcPr>
          <w:p>
            <w:pPr>
              <w:jc w:val="left"/>
            </w:pPr>
            <w:r>
              <w:rPr>
                <w:rFonts w:ascii="Calibri" w:hAnsi="Calibri"/>
                <w:b w:val="0"/>
                <w:color w:val="0F172A"/>
                <w:sz w:val="17"/>
              </w:rPr>
              <w:t>Float</w:t>
            </w:r>
          </w:p>
        </w:tc>
        <w:tc>
          <w:tcPr>
            <w:tcW w:type="dxa" w:w="1296"/>
            <w:shd w:fill="FFFFFF"/>
          </w:tcPr>
          <w:p>
            <w:pPr>
              <w:jc w:val="left"/>
            </w:pPr>
            <w:r>
              <w:rPr>
                <w:rFonts w:ascii="Calibri" w:hAnsi="Calibri"/>
                <w:b w:val="0"/>
                <w:color w:val="0F172A"/>
                <w:sz w:val="17"/>
              </w:rPr>
              <w:t>Predictor (Network Bridge)</w:t>
            </w:r>
          </w:p>
        </w:tc>
        <w:tc>
          <w:tcPr>
            <w:tcW w:type="dxa" w:w="1584"/>
            <w:shd w:fill="FFFFFF"/>
          </w:tcPr>
          <w:p>
            <w:pPr>
              <w:jc w:val="left"/>
            </w:pPr>
            <w:r>
              <w:rPr>
                <w:rFonts w:ascii="Calibri" w:hAnsi="Calibri"/>
                <w:b w:val="0"/>
                <w:color w:val="0F172A"/>
                <w:sz w:val="17"/>
              </w:rPr>
              <w:t>Max degree among participating funds</w:t>
            </w:r>
          </w:p>
        </w:tc>
        <w:tc>
          <w:tcPr>
            <w:tcW w:type="dxa" w:w="2592"/>
            <w:shd w:fill="FFFFFF"/>
          </w:tcPr>
          <w:p>
            <w:pPr>
              <w:jc w:val="left"/>
            </w:pPr>
            <w:r>
              <w:rPr>
                <w:rFonts w:ascii="Calibri" w:hAnsi="Calibri"/>
                <w:b w:val="0"/>
                <w:color w:val="0F172A"/>
                <w:sz w:val="17"/>
              </w:rPr>
              <w:t>Normalized Degree Centrality of the lead investor from Project 1.</w:t>
            </w:r>
          </w:p>
        </w:tc>
      </w:tr>
      <w:tr>
        <w:tc>
          <w:tcPr>
            <w:tcW w:type="dxa" w:w="1728"/>
            <w:shd w:fill="F8FAFC"/>
          </w:tcPr>
          <w:p>
            <w:pPr>
              <w:jc w:val="left"/>
            </w:pPr>
            <w:r>
              <w:rPr>
                <w:rFonts w:ascii="Calibri" w:hAnsi="Calibri"/>
                <w:b/>
                <w:color w:val="0F172A"/>
                <w:sz w:val="17"/>
              </w:rPr>
              <w:t>lead_inv_betweenness</w:t>
            </w:r>
          </w:p>
        </w:tc>
        <w:tc>
          <w:tcPr>
            <w:tcW w:type="dxa" w:w="1296"/>
            <w:shd w:fill="F8FAFC"/>
          </w:tcPr>
          <w:p>
            <w:pPr>
              <w:jc w:val="left"/>
            </w:pPr>
            <w:r>
              <w:rPr>
                <w:rFonts w:ascii="Calibri" w:hAnsi="Calibri"/>
                <w:b w:val="0"/>
                <w:color w:val="0F172A"/>
                <w:sz w:val="17"/>
              </w:rPr>
              <w:t>Project 1 Graph</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Predictor (Network Bridge)</w:t>
            </w:r>
          </w:p>
        </w:tc>
        <w:tc>
          <w:tcPr>
            <w:tcW w:type="dxa" w:w="1584"/>
            <w:shd w:fill="F8FAFC"/>
          </w:tcPr>
          <w:p>
            <w:pPr>
              <w:jc w:val="left"/>
            </w:pPr>
            <w:r>
              <w:rPr>
                <w:rFonts w:ascii="Calibri" w:hAnsi="Calibri"/>
                <w:b w:val="0"/>
                <w:color w:val="0F172A"/>
                <w:sz w:val="17"/>
              </w:rPr>
              <w:t>Max betweenness among funds</w:t>
            </w:r>
          </w:p>
        </w:tc>
        <w:tc>
          <w:tcPr>
            <w:tcW w:type="dxa" w:w="2592"/>
            <w:shd w:fill="F8FAFC"/>
          </w:tcPr>
          <w:p>
            <w:pPr>
              <w:jc w:val="left"/>
            </w:pPr>
            <w:r>
              <w:rPr>
                <w:rFonts w:ascii="Calibri" w:hAnsi="Calibri"/>
                <w:b w:val="0"/>
                <w:color w:val="0F172A"/>
                <w:sz w:val="17"/>
              </w:rPr>
              <w:t>Shortest-path Betweenness Centrality (information brokerage power).</w:t>
            </w:r>
          </w:p>
        </w:tc>
      </w:tr>
      <w:tr>
        <w:tc>
          <w:tcPr>
            <w:tcW w:type="dxa" w:w="1728"/>
            <w:shd w:fill="FFFFFF"/>
          </w:tcPr>
          <w:p>
            <w:pPr>
              <w:jc w:val="left"/>
            </w:pPr>
            <w:r>
              <w:rPr>
                <w:rFonts w:ascii="Calibri" w:hAnsi="Calibri"/>
                <w:b/>
                <w:color w:val="0F172A"/>
                <w:sz w:val="17"/>
              </w:rPr>
              <w:t>lead_inv_eigenvector</w:t>
            </w:r>
          </w:p>
        </w:tc>
        <w:tc>
          <w:tcPr>
            <w:tcW w:type="dxa" w:w="1296"/>
            <w:shd w:fill="FFFFFF"/>
          </w:tcPr>
          <w:p>
            <w:pPr>
              <w:jc w:val="left"/>
            </w:pPr>
            <w:r>
              <w:rPr>
                <w:rFonts w:ascii="Calibri" w:hAnsi="Calibri"/>
                <w:b w:val="0"/>
                <w:color w:val="0F172A"/>
                <w:sz w:val="17"/>
              </w:rPr>
              <w:t>Project 1 Graph</w:t>
            </w:r>
          </w:p>
        </w:tc>
        <w:tc>
          <w:tcPr>
            <w:tcW w:type="dxa" w:w="1152"/>
            <w:shd w:fill="FFFFFF"/>
          </w:tcPr>
          <w:p>
            <w:pPr>
              <w:jc w:val="left"/>
            </w:pPr>
            <w:r>
              <w:rPr>
                <w:rFonts w:ascii="Calibri" w:hAnsi="Calibri"/>
                <w:b w:val="0"/>
                <w:color w:val="0F172A"/>
                <w:sz w:val="17"/>
              </w:rPr>
              <w:t>Float</w:t>
            </w:r>
          </w:p>
        </w:tc>
        <w:tc>
          <w:tcPr>
            <w:tcW w:type="dxa" w:w="1296"/>
            <w:shd w:fill="FFFFFF"/>
          </w:tcPr>
          <w:p>
            <w:pPr>
              <w:jc w:val="left"/>
            </w:pPr>
            <w:r>
              <w:rPr>
                <w:rFonts w:ascii="Calibri" w:hAnsi="Calibri"/>
                <w:b w:val="0"/>
                <w:color w:val="0F172A"/>
                <w:sz w:val="17"/>
              </w:rPr>
              <w:t>Predictor (Network Bridge)</w:t>
            </w:r>
          </w:p>
        </w:tc>
        <w:tc>
          <w:tcPr>
            <w:tcW w:type="dxa" w:w="1584"/>
            <w:shd w:fill="FFFFFF"/>
          </w:tcPr>
          <w:p>
            <w:pPr>
              <w:jc w:val="left"/>
            </w:pPr>
            <w:r>
              <w:rPr>
                <w:rFonts w:ascii="Calibri" w:hAnsi="Calibri"/>
                <w:b w:val="0"/>
                <w:color w:val="0F172A"/>
                <w:sz w:val="17"/>
              </w:rPr>
              <w:t>Max eigenvector among funds</w:t>
            </w:r>
          </w:p>
        </w:tc>
        <w:tc>
          <w:tcPr>
            <w:tcW w:type="dxa" w:w="2592"/>
            <w:shd w:fill="FFFFFF"/>
          </w:tcPr>
          <w:p>
            <w:pPr>
              <w:jc w:val="left"/>
            </w:pPr>
            <w:r>
              <w:rPr>
                <w:rFonts w:ascii="Calibri" w:hAnsi="Calibri"/>
                <w:b w:val="0"/>
                <w:color w:val="0F172A"/>
                <w:sz w:val="17"/>
              </w:rPr>
              <w:t>Eigenvector Centrality: prestige through association with elite funds.</w:t>
            </w:r>
          </w:p>
        </w:tc>
      </w:tr>
      <w:tr>
        <w:tc>
          <w:tcPr>
            <w:tcW w:type="dxa" w:w="1728"/>
            <w:shd w:fill="F8FAFC"/>
          </w:tcPr>
          <w:p>
            <w:pPr>
              <w:jc w:val="left"/>
            </w:pPr>
            <w:r>
              <w:rPr>
                <w:rFonts w:ascii="Calibri" w:hAnsi="Calibri"/>
                <w:b/>
                <w:color w:val="0F172A"/>
                <w:sz w:val="17"/>
              </w:rPr>
              <w:t>lead_inv_pagerank</w:t>
            </w:r>
          </w:p>
        </w:tc>
        <w:tc>
          <w:tcPr>
            <w:tcW w:type="dxa" w:w="1296"/>
            <w:shd w:fill="F8FAFC"/>
          </w:tcPr>
          <w:p>
            <w:pPr>
              <w:jc w:val="left"/>
            </w:pPr>
            <w:r>
              <w:rPr>
                <w:rFonts w:ascii="Calibri" w:hAnsi="Calibri"/>
                <w:b w:val="0"/>
                <w:color w:val="0F172A"/>
                <w:sz w:val="17"/>
              </w:rPr>
              <w:t>Project 1 Graph</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Predictor (Network Bridge)</w:t>
            </w:r>
          </w:p>
        </w:tc>
        <w:tc>
          <w:tcPr>
            <w:tcW w:type="dxa" w:w="1584"/>
            <w:shd w:fill="F8FAFC"/>
          </w:tcPr>
          <w:p>
            <w:pPr>
              <w:jc w:val="left"/>
            </w:pPr>
            <w:r>
              <w:rPr>
                <w:rFonts w:ascii="Calibri" w:hAnsi="Calibri"/>
                <w:b w:val="0"/>
                <w:color w:val="0F172A"/>
                <w:sz w:val="17"/>
              </w:rPr>
              <w:t>Max PageRank score among funds</w:t>
            </w:r>
          </w:p>
        </w:tc>
        <w:tc>
          <w:tcPr>
            <w:tcW w:type="dxa" w:w="2592"/>
            <w:shd w:fill="F8FAFC"/>
          </w:tcPr>
          <w:p>
            <w:pPr>
              <w:jc w:val="left"/>
            </w:pPr>
            <w:r>
              <w:rPr>
                <w:rFonts w:ascii="Calibri" w:hAnsi="Calibri"/>
                <w:b w:val="0"/>
                <w:color w:val="0F172A"/>
                <w:sz w:val="17"/>
              </w:rPr>
              <w:t>PageRank prestige: recursive capital-weighted random-walk score.</w:t>
            </w:r>
          </w:p>
        </w:tc>
      </w:tr>
      <w:tr>
        <w:tc>
          <w:tcPr>
            <w:tcW w:type="dxa" w:w="1728"/>
            <w:shd w:fill="FFFFFF"/>
          </w:tcPr>
          <w:p>
            <w:pPr>
              <w:jc w:val="left"/>
            </w:pPr>
            <w:r>
              <w:rPr>
                <w:rFonts w:ascii="Calibri" w:hAnsi="Calibri"/>
                <w:b/>
                <w:color w:val="0F172A"/>
                <w:sz w:val="17"/>
              </w:rPr>
              <w:t>syndicate_avg_pagerank</w:t>
            </w:r>
          </w:p>
        </w:tc>
        <w:tc>
          <w:tcPr>
            <w:tcW w:type="dxa" w:w="1296"/>
            <w:shd w:fill="FFFFFF"/>
          </w:tcPr>
          <w:p>
            <w:pPr>
              <w:jc w:val="left"/>
            </w:pPr>
            <w:r>
              <w:rPr>
                <w:rFonts w:ascii="Calibri" w:hAnsi="Calibri"/>
                <w:b w:val="0"/>
                <w:color w:val="0F172A"/>
                <w:sz w:val="17"/>
              </w:rPr>
              <w:t>Project 1 Graph</w:t>
            </w:r>
          </w:p>
        </w:tc>
        <w:tc>
          <w:tcPr>
            <w:tcW w:type="dxa" w:w="1152"/>
            <w:shd w:fill="FFFFFF"/>
          </w:tcPr>
          <w:p>
            <w:pPr>
              <w:jc w:val="left"/>
            </w:pPr>
            <w:r>
              <w:rPr>
                <w:rFonts w:ascii="Calibri" w:hAnsi="Calibri"/>
                <w:b w:val="0"/>
                <w:color w:val="0F172A"/>
                <w:sz w:val="17"/>
              </w:rPr>
              <w:t>Float</w:t>
            </w:r>
          </w:p>
        </w:tc>
        <w:tc>
          <w:tcPr>
            <w:tcW w:type="dxa" w:w="1296"/>
            <w:shd w:fill="FFFFFF"/>
          </w:tcPr>
          <w:p>
            <w:pPr>
              <w:jc w:val="left"/>
            </w:pPr>
            <w:r>
              <w:rPr>
                <w:rFonts w:ascii="Calibri" w:hAnsi="Calibri"/>
                <w:b w:val="0"/>
                <w:color w:val="0F172A"/>
                <w:sz w:val="17"/>
              </w:rPr>
              <w:t>Predictor (Network Bridge)</w:t>
            </w:r>
          </w:p>
        </w:tc>
        <w:tc>
          <w:tcPr>
            <w:tcW w:type="dxa" w:w="1584"/>
            <w:shd w:fill="FFFFFF"/>
          </w:tcPr>
          <w:p>
            <w:pPr>
              <w:jc w:val="left"/>
            </w:pPr>
            <w:r>
              <w:rPr>
                <w:rFonts w:ascii="Calibri" w:hAnsi="Calibri"/>
                <w:b w:val="0"/>
                <w:color w:val="0F172A"/>
                <w:sz w:val="17"/>
              </w:rPr>
              <w:t>Mean PageRank of syndicate funds</w:t>
            </w:r>
          </w:p>
        </w:tc>
        <w:tc>
          <w:tcPr>
            <w:tcW w:type="dxa" w:w="2592"/>
            <w:shd w:fill="FFFFFF"/>
          </w:tcPr>
          <w:p>
            <w:pPr>
              <w:jc w:val="left"/>
            </w:pPr>
            <w:r>
              <w:rPr>
                <w:rFonts w:ascii="Calibri" w:hAnsi="Calibri"/>
                <w:b w:val="0"/>
                <w:color w:val="0F172A"/>
                <w:sz w:val="17"/>
              </w:rPr>
              <w:t>Average prestige across all participating investors in the round.</w:t>
            </w:r>
          </w:p>
        </w:tc>
      </w:tr>
      <w:tr>
        <w:tc>
          <w:tcPr>
            <w:tcW w:type="dxa" w:w="1728"/>
            <w:shd w:fill="F8FAFC"/>
          </w:tcPr>
          <w:p>
            <w:pPr>
              <w:jc w:val="left"/>
            </w:pPr>
            <w:r>
              <w:rPr>
                <w:rFonts w:ascii="Calibri" w:hAnsi="Calibri"/>
                <w:b/>
                <w:color w:val="0F172A"/>
                <w:sz w:val="17"/>
              </w:rPr>
              <w:t>has_marquee_investor</w:t>
            </w:r>
          </w:p>
        </w:tc>
        <w:tc>
          <w:tcPr>
            <w:tcW w:type="dxa" w:w="1296"/>
            <w:shd w:fill="F8FAFC"/>
          </w:tcPr>
          <w:p>
            <w:pPr>
              <w:jc w:val="left"/>
            </w:pPr>
            <w:r>
              <w:rPr>
                <w:rFonts w:ascii="Calibri" w:hAnsi="Calibri"/>
                <w:b w:val="0"/>
                <w:color w:val="0F172A"/>
                <w:sz w:val="17"/>
              </w:rPr>
              <w:t>Project 1 Graph</w:t>
            </w:r>
          </w:p>
        </w:tc>
        <w:tc>
          <w:tcPr>
            <w:tcW w:type="dxa" w:w="1152"/>
            <w:shd w:fill="F8FAFC"/>
          </w:tcPr>
          <w:p>
            <w:pPr>
              <w:jc w:val="left"/>
            </w:pPr>
            <w:r>
              <w:rPr>
                <w:rFonts w:ascii="Calibri" w:hAnsi="Calibri"/>
                <w:b w:val="0"/>
                <w:color w:val="0F172A"/>
                <w:sz w:val="17"/>
              </w:rPr>
              <w:t>Binary (0/1)</w:t>
            </w:r>
          </w:p>
        </w:tc>
        <w:tc>
          <w:tcPr>
            <w:tcW w:type="dxa" w:w="1296"/>
            <w:shd w:fill="F8FAFC"/>
          </w:tcPr>
          <w:p>
            <w:pPr>
              <w:jc w:val="left"/>
            </w:pPr>
            <w:r>
              <w:rPr>
                <w:rFonts w:ascii="Calibri" w:hAnsi="Calibri"/>
                <w:b w:val="0"/>
                <w:color w:val="0F172A"/>
                <w:sz w:val="17"/>
              </w:rPr>
              <w:t>Predictor (Network Bridge)</w:t>
            </w:r>
          </w:p>
        </w:tc>
        <w:tc>
          <w:tcPr>
            <w:tcW w:type="dxa" w:w="1584"/>
            <w:shd w:fill="F8FAFC"/>
          </w:tcPr>
          <w:p>
            <w:pPr>
              <w:jc w:val="left"/>
            </w:pPr>
            <w:r>
              <w:rPr>
                <w:rFonts w:ascii="Calibri" w:hAnsi="Calibri"/>
                <w:b w:val="0"/>
                <w:color w:val="0F172A"/>
                <w:sz w:val="17"/>
              </w:rPr>
              <w:t>1 if tier-1 VC present, else 0</w:t>
            </w:r>
          </w:p>
        </w:tc>
        <w:tc>
          <w:tcPr>
            <w:tcW w:type="dxa" w:w="2592"/>
            <w:shd w:fill="F8FAFC"/>
          </w:tcPr>
          <w:p>
            <w:pPr>
              <w:jc w:val="left"/>
            </w:pPr>
            <w:r>
              <w:rPr>
                <w:rFonts w:ascii="Calibri" w:hAnsi="Calibri"/>
                <w:b w:val="0"/>
                <w:color w:val="0F172A"/>
                <w:sz w:val="17"/>
              </w:rPr>
              <w:t>Indicator for Sequoia/Peak XV, Accel, Tiger Global, Blume, Matrix, Kalaari, Nexus, SAIF.</w:t>
            </w:r>
          </w:p>
        </w:tc>
      </w:tr>
      <w:tr>
        <w:tc>
          <w:tcPr>
            <w:tcW w:type="dxa" w:w="1728"/>
            <w:shd w:fill="FFFFFF"/>
          </w:tcPr>
          <w:p>
            <w:pPr>
              <w:jc w:val="left"/>
            </w:pPr>
            <w:r>
              <w:rPr>
                <w:rFonts w:ascii="Calibri" w:hAnsi="Calibri"/>
                <w:b/>
                <w:color w:val="0F172A"/>
                <w:sz w:val="17"/>
              </w:rPr>
              <w:t>in_p1_network</w:t>
            </w:r>
          </w:p>
        </w:tc>
        <w:tc>
          <w:tcPr>
            <w:tcW w:type="dxa" w:w="1296"/>
            <w:shd w:fill="FFFFFF"/>
          </w:tcPr>
          <w:p>
            <w:pPr>
              <w:jc w:val="left"/>
            </w:pPr>
            <w:r>
              <w:rPr>
                <w:rFonts w:ascii="Calibri" w:hAnsi="Calibri"/>
                <w:b w:val="0"/>
                <w:color w:val="0F172A"/>
                <w:sz w:val="17"/>
              </w:rPr>
              <w:t>Project 1 Graph</w:t>
            </w:r>
          </w:p>
        </w:tc>
        <w:tc>
          <w:tcPr>
            <w:tcW w:type="dxa" w:w="1152"/>
            <w:shd w:fill="FFFFFF"/>
          </w:tcPr>
          <w:p>
            <w:pPr>
              <w:jc w:val="left"/>
            </w:pPr>
            <w:r>
              <w:rPr>
                <w:rFonts w:ascii="Calibri" w:hAnsi="Calibri"/>
                <w:b w:val="0"/>
                <w:color w:val="0F172A"/>
                <w:sz w:val="17"/>
              </w:rPr>
              <w:t>Binary (0/1)</w:t>
            </w:r>
          </w:p>
        </w:tc>
        <w:tc>
          <w:tcPr>
            <w:tcW w:type="dxa" w:w="1296"/>
            <w:shd w:fill="FFFFFF"/>
          </w:tcPr>
          <w:p>
            <w:pPr>
              <w:jc w:val="left"/>
            </w:pPr>
            <w:r>
              <w:rPr>
                <w:rFonts w:ascii="Calibri" w:hAnsi="Calibri"/>
                <w:b w:val="0"/>
                <w:color w:val="0F172A"/>
                <w:sz w:val="17"/>
              </w:rPr>
              <w:t>Predictor (Network Bridge)</w:t>
            </w:r>
          </w:p>
        </w:tc>
        <w:tc>
          <w:tcPr>
            <w:tcW w:type="dxa" w:w="1584"/>
            <w:shd w:fill="FFFFFF"/>
          </w:tcPr>
          <w:p>
            <w:pPr>
              <w:jc w:val="left"/>
            </w:pPr>
            <w:r>
              <w:rPr>
                <w:rFonts w:ascii="Calibri" w:hAnsi="Calibri"/>
                <w:b w:val="0"/>
                <w:color w:val="0F172A"/>
                <w:sz w:val="17"/>
              </w:rPr>
              <w:t>1 if matched to Project 1, else 0</w:t>
            </w:r>
          </w:p>
        </w:tc>
        <w:tc>
          <w:tcPr>
            <w:tcW w:type="dxa" w:w="2592"/>
            <w:shd w:fill="FFFFFF"/>
          </w:tcPr>
          <w:p>
            <w:pPr>
              <w:jc w:val="left"/>
            </w:pPr>
            <w:r>
              <w:rPr>
                <w:rFonts w:ascii="Calibri" w:hAnsi="Calibri"/>
                <w:b w:val="0"/>
                <w:color w:val="0F172A"/>
                <w:sz w:val="17"/>
              </w:rPr>
              <w:t>Network coverage flag: distinguishes core ecosystem funds from isolated angels.</w:t>
            </w:r>
          </w:p>
        </w:tc>
      </w:tr>
      <w:tr>
        <w:tc>
          <w:tcPr>
            <w:tcW w:type="dxa" w:w="1728"/>
            <w:shd w:fill="F8FAFC"/>
          </w:tcPr>
          <w:p>
            <w:pPr>
              <w:jc w:val="left"/>
            </w:pPr>
            <w:r>
              <w:rPr>
                <w:rFonts w:ascii="Calibri" w:hAnsi="Calibri"/>
                <w:b/>
                <w:color w:val="0F172A"/>
                <w:sz w:val="17"/>
              </w:rPr>
              <w:t>founder_team_size</w:t>
            </w:r>
          </w:p>
        </w:tc>
        <w:tc>
          <w:tcPr>
            <w:tcW w:type="dxa" w:w="1296"/>
            <w:shd w:fill="F8FAFC"/>
          </w:tcPr>
          <w:p>
            <w:pPr>
              <w:jc w:val="left"/>
            </w:pPr>
            <w:r>
              <w:rPr>
                <w:rFonts w:ascii="Calibri" w:hAnsi="Calibri"/>
                <w:b w:val="0"/>
                <w:color w:val="0F172A"/>
                <w:sz w:val="17"/>
              </w:rPr>
              <w:t>Project 1 Match</w:t>
            </w:r>
          </w:p>
        </w:tc>
        <w:tc>
          <w:tcPr>
            <w:tcW w:type="dxa" w:w="1152"/>
            <w:shd w:fill="F8FAFC"/>
          </w:tcPr>
          <w:p>
            <w:pPr>
              <w:jc w:val="left"/>
            </w:pPr>
            <w:r>
              <w:rPr>
                <w:rFonts w:ascii="Calibri" w:hAnsi="Calibri"/>
                <w:b w:val="0"/>
                <w:color w:val="0F172A"/>
                <w:sz w:val="17"/>
              </w:rPr>
              <w:t>Float</w:t>
            </w:r>
          </w:p>
        </w:tc>
        <w:tc>
          <w:tcPr>
            <w:tcW w:type="dxa" w:w="1296"/>
            <w:shd w:fill="F8FAFC"/>
          </w:tcPr>
          <w:p>
            <w:pPr>
              <w:jc w:val="left"/>
            </w:pPr>
            <w:r>
              <w:rPr>
                <w:rFonts w:ascii="Calibri" w:hAnsi="Calibri"/>
                <w:b w:val="0"/>
                <w:color w:val="0F172A"/>
                <w:sz w:val="17"/>
              </w:rPr>
              <w:t>Predictor (Founder)</w:t>
            </w:r>
          </w:p>
        </w:tc>
        <w:tc>
          <w:tcPr>
            <w:tcW w:type="dxa" w:w="1584"/>
            <w:shd w:fill="F8FAFC"/>
          </w:tcPr>
          <w:p>
            <w:pPr>
              <w:jc w:val="left"/>
            </w:pPr>
            <w:r>
              <w:rPr>
                <w:rFonts w:ascii="Calibri" w:hAnsi="Calibri"/>
                <w:b w:val="0"/>
                <w:color w:val="0F172A"/>
                <w:sz w:val="17"/>
              </w:rPr>
              <w:t>Matched founder count; median 1.0</w:t>
            </w:r>
          </w:p>
        </w:tc>
        <w:tc>
          <w:tcPr>
            <w:tcW w:type="dxa" w:w="2592"/>
            <w:shd w:fill="F8FAFC"/>
          </w:tcPr>
          <w:p>
            <w:pPr>
              <w:jc w:val="left"/>
            </w:pPr>
            <w:r>
              <w:rPr>
                <w:rFonts w:ascii="Calibri" w:hAnsi="Calibri"/>
                <w:b w:val="0"/>
                <w:color w:val="0F172A"/>
                <w:sz w:val="17"/>
              </w:rPr>
              <w:t>Number of co-founders identified from Project 1 dataset.</w:t>
            </w:r>
          </w:p>
        </w:tc>
      </w:tr>
      <w:tr>
        <w:tc>
          <w:tcPr>
            <w:tcW w:type="dxa" w:w="1728"/>
            <w:shd w:fill="FFFFFF"/>
          </w:tcPr>
          <w:p>
            <w:pPr>
              <w:jc w:val="left"/>
            </w:pPr>
            <w:r>
              <w:rPr>
                <w:rFonts w:ascii="Calibri" w:hAnsi="Calibri"/>
                <w:b/>
                <w:color w:val="0F172A"/>
                <w:sz w:val="17"/>
              </w:rPr>
              <w:t>has_p1_founder_data</w:t>
            </w:r>
          </w:p>
        </w:tc>
        <w:tc>
          <w:tcPr>
            <w:tcW w:type="dxa" w:w="1296"/>
            <w:shd w:fill="FFFFFF"/>
          </w:tcPr>
          <w:p>
            <w:pPr>
              <w:jc w:val="left"/>
            </w:pPr>
            <w:r>
              <w:rPr>
                <w:rFonts w:ascii="Calibri" w:hAnsi="Calibri"/>
                <w:b w:val="0"/>
                <w:color w:val="0F172A"/>
                <w:sz w:val="17"/>
              </w:rPr>
              <w:t>Project 1 Match</w:t>
            </w:r>
          </w:p>
        </w:tc>
        <w:tc>
          <w:tcPr>
            <w:tcW w:type="dxa" w:w="1152"/>
            <w:shd w:fill="FFFFFF"/>
          </w:tcPr>
          <w:p>
            <w:pPr>
              <w:jc w:val="left"/>
            </w:pPr>
            <w:r>
              <w:rPr>
                <w:rFonts w:ascii="Calibri" w:hAnsi="Calibri"/>
                <w:b w:val="0"/>
                <w:color w:val="0F172A"/>
                <w:sz w:val="17"/>
              </w:rPr>
              <w:t>Binary (0/1)</w:t>
            </w:r>
          </w:p>
        </w:tc>
        <w:tc>
          <w:tcPr>
            <w:tcW w:type="dxa" w:w="1296"/>
            <w:shd w:fill="FFFFFF"/>
          </w:tcPr>
          <w:p>
            <w:pPr>
              <w:jc w:val="left"/>
            </w:pPr>
            <w:r>
              <w:rPr>
                <w:rFonts w:ascii="Calibri" w:hAnsi="Calibri"/>
                <w:b w:val="0"/>
                <w:color w:val="0F172A"/>
                <w:sz w:val="17"/>
              </w:rPr>
              <w:t>Predictor (Founder)</w:t>
            </w:r>
          </w:p>
        </w:tc>
        <w:tc>
          <w:tcPr>
            <w:tcW w:type="dxa" w:w="1584"/>
            <w:shd w:fill="FFFFFF"/>
          </w:tcPr>
          <w:p>
            <w:pPr>
              <w:jc w:val="left"/>
            </w:pPr>
            <w:r>
              <w:rPr>
                <w:rFonts w:ascii="Calibri" w:hAnsi="Calibri"/>
                <w:b w:val="0"/>
                <w:color w:val="0F172A"/>
                <w:sz w:val="17"/>
              </w:rPr>
              <w:t>1 if founder named, else 0</w:t>
            </w:r>
          </w:p>
        </w:tc>
        <w:tc>
          <w:tcPr>
            <w:tcW w:type="dxa" w:w="2592"/>
            <w:shd w:fill="FFFFFF"/>
          </w:tcPr>
          <w:p>
            <w:pPr>
              <w:jc w:val="left"/>
            </w:pPr>
            <w:r>
              <w:rPr>
                <w:rFonts w:ascii="Calibri" w:hAnsi="Calibri"/>
                <w:b w:val="0"/>
                <w:color w:val="0F172A"/>
                <w:sz w:val="17"/>
              </w:rPr>
              <w:t>Binary flag indicating whether verified human capital data is available.</w:t>
            </w:r>
          </w:p>
        </w:tc>
      </w:tr>
    </w:tbl>
    <w:p>
      <w:pPr>
        <w:pStyle w:val="Heading1"/>
      </w:pPr>
      <w:r>
        <w:t>4. Preprocessing &amp; Leakage Constraints</w:t>
      </w:r>
    </w:p>
    <w:p>
      <w:r>
        <w:t>1. Chronological Ordering: All lagged features (prev_funding_usd, prev_round_size, days_since_prev_round) are computed strictly using transactions occurring prior to the current round_date.</w:t>
        <w:br/>
        <w:t>2. Pipeline Partitioning: Continuous numeric predictors are standardized (zero mean, unit variance) using scalers fit solely on training data. Categorical variables are transformed via One-Hot Encoding with dummy drop for the reference level to prevent collinearity in linear specifications.</w:t>
        <w:br/>
        <w:t>3. Imputation Strategy: Missing values in amount_usd are retained for stage progression classification and excluded only for continuous round amount estimation.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