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Project 2: Startup Funding Prediction Model</w:t>
      </w:r>
    </w:p>
    <w:p>
      <w:pPr>
        <w:spacing w:after="280"/>
      </w:pPr>
      <w:r>
        <w:rPr>
          <w:rFonts w:ascii="Calibri" w:hAnsi="Calibri"/>
          <w:color w:val="64748B"/>
          <w:sz w:val="24"/>
        </w:rPr>
        <w:t>Predicting Funding Sizing and Stage Progression in the Indian Startup Ecosystem</w:t>
      </w:r>
    </w:p>
    <w:p>
      <w:pPr>
        <w:pStyle w:val="Heading1"/>
      </w:pPr>
      <w:r>
        <w:t>Executive Project Summary</w:t>
      </w:r>
    </w:p>
    <w:p>
      <w:r>
        <w:t>Aim &amp; Core Question: This study investigates whether observable startup characteristics and inter-firm network positions predict subsequent funding round sizes and stage progression in the Indian venture capital ecosystem.</w:t>
        <w:br/>
        <w:br/>
        <w:t>Methods &amp; Network Integration: Utilizing 3,044 funding rounds from 2015 to 2020, we engineer historical track records (prior capital, previous round sizes, financing runway, operational age) and establish a cross-project feature bridge to Project 1's tripartite network. Participating investors are mapped to their graph centrality metrics (PageRank prestige, Betweenness brokerage, Degree deal volume). We benchmark linear regularized regressions (OLS, Ridge, Lasso, ElasticNet), Random Forest, and XGBoost for continuous amount estimation, alongside binary classifiers for stage graduation.</w:t>
        <w:br/>
        <w:br/>
        <w:t>Empirical Results: Gradient-boosted trees (XGBoost) achieve the highest predictive power (R2 = 0.698, RMSE = 1.084), outperforming linear specifications (R2 = 0.639) by capturing non-linear stage-valuation interactions. In classification, models achieve an ROC-AUC of 0.890 and 95.7% precision in identifying startups that graduate to follow-on rounds. Critically, ablation tests prove that Project 1 network features deliver a +5.5% R2 boost, confirming that investor network prestige provides independent certification value beyond company operational metrics alone.</w:t>
      </w:r>
    </w:p>
    <w:p>
      <w:pPr>
        <w:pStyle w:val="Heading1"/>
      </w:pPr>
      <w:r>
        <w:t>Benchmark Performance Summary</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160"/>
            <w:shd w:fill="1E293B"/>
          </w:tcPr>
          <w:p>
            <w:pPr>
              <w:jc w:val="left"/>
            </w:pPr>
            <w:r>
              <w:rPr>
                <w:rFonts w:ascii="Calibri" w:hAnsi="Calibri"/>
                <w:b/>
                <w:color w:val="FFFFFF"/>
                <w:sz w:val="17"/>
              </w:rPr>
              <w:t>Model / Algorithm</w:t>
            </w:r>
          </w:p>
        </w:tc>
        <w:tc>
          <w:tcPr>
            <w:tcW w:type="dxa" w:w="1296"/>
            <w:shd w:fill="1E293B"/>
          </w:tcPr>
          <w:p>
            <w:pPr>
              <w:jc w:val="left"/>
            </w:pPr>
            <w:r>
              <w:rPr>
                <w:rFonts w:ascii="Calibri" w:hAnsi="Calibri"/>
                <w:b/>
                <w:color w:val="FFFFFF"/>
                <w:sz w:val="17"/>
              </w:rPr>
              <w:t>Task Type</w:t>
            </w:r>
          </w:p>
        </w:tc>
        <w:tc>
          <w:tcPr>
            <w:tcW w:type="dxa" w:w="1296"/>
            <w:shd w:fill="1E293B"/>
          </w:tcPr>
          <w:p>
            <w:pPr>
              <w:jc w:val="left"/>
            </w:pPr>
            <w:r>
              <w:rPr>
                <w:rFonts w:ascii="Calibri" w:hAnsi="Calibri"/>
                <w:b/>
                <w:color w:val="FFFFFF"/>
                <w:sz w:val="17"/>
              </w:rPr>
              <w:t>Baseline Score</w:t>
            </w:r>
          </w:p>
        </w:tc>
        <w:tc>
          <w:tcPr>
            <w:tcW w:type="dxa" w:w="1440"/>
            <w:shd w:fill="1E293B"/>
          </w:tcPr>
          <w:p>
            <w:pPr>
              <w:jc w:val="left"/>
            </w:pPr>
            <w:r>
              <w:rPr>
                <w:rFonts w:ascii="Calibri" w:hAnsi="Calibri"/>
                <w:b/>
                <w:color w:val="FFFFFF"/>
                <w:sz w:val="17"/>
              </w:rPr>
              <w:t>Full Score (+Network)</w:t>
            </w:r>
          </w:p>
        </w:tc>
        <w:tc>
          <w:tcPr>
            <w:tcW w:type="dxa" w:w="1296"/>
            <w:shd w:fill="1E293B"/>
          </w:tcPr>
          <w:p>
            <w:pPr>
              <w:jc w:val="left"/>
            </w:pPr>
            <w:r>
              <w:rPr>
                <w:rFonts w:ascii="Calibri" w:hAnsi="Calibri"/>
                <w:b/>
                <w:color w:val="FFFFFF"/>
                <w:sz w:val="17"/>
              </w:rPr>
              <w:t>Performance Gain</w:t>
            </w:r>
          </w:p>
        </w:tc>
        <w:tc>
          <w:tcPr>
            <w:tcW w:type="dxa" w:w="1872"/>
            <w:shd w:fill="1E293B"/>
          </w:tcPr>
          <w:p>
            <w:pPr>
              <w:jc w:val="left"/>
            </w:pPr>
            <w:r>
              <w:rPr>
                <w:rFonts w:ascii="Calibri" w:hAnsi="Calibri"/>
                <w:b/>
                <w:color w:val="FFFFFF"/>
                <w:sz w:val="17"/>
              </w:rPr>
              <w:t>Primary Strength</w:t>
            </w:r>
          </w:p>
        </w:tc>
      </w:tr>
      <w:tr>
        <w:tc>
          <w:tcPr>
            <w:tcW w:type="dxa" w:w="2160"/>
            <w:shd w:fill="F8FAFC"/>
          </w:tcPr>
          <w:p>
            <w:pPr>
              <w:jc w:val="left"/>
            </w:pPr>
            <w:r>
              <w:rPr>
                <w:rFonts w:ascii="Calibri" w:hAnsi="Calibri"/>
                <w:b/>
                <w:color w:val="0F172A"/>
                <w:sz w:val="17"/>
              </w:rPr>
              <w:t>XGBoost Regressor</w:t>
            </w:r>
          </w:p>
        </w:tc>
        <w:tc>
          <w:tcPr>
            <w:tcW w:type="dxa" w:w="1296"/>
            <w:shd w:fill="F8FAFC"/>
          </w:tcPr>
          <w:p>
            <w:pPr>
              <w:jc w:val="left"/>
            </w:pPr>
            <w:r>
              <w:rPr>
                <w:rFonts w:ascii="Calibri" w:hAnsi="Calibri"/>
                <w:b w:val="0"/>
                <w:color w:val="0F172A"/>
                <w:sz w:val="17"/>
              </w:rPr>
              <w:t>Regression</w:t>
            </w:r>
          </w:p>
        </w:tc>
        <w:tc>
          <w:tcPr>
            <w:tcW w:type="dxa" w:w="1296"/>
            <w:shd w:fill="F8FAFC"/>
          </w:tcPr>
          <w:p>
            <w:pPr>
              <w:jc w:val="left"/>
            </w:pPr>
            <w:r>
              <w:rPr>
                <w:rFonts w:ascii="Calibri" w:hAnsi="Calibri"/>
                <w:b w:val="0"/>
                <w:color w:val="0F172A"/>
                <w:sz w:val="17"/>
              </w:rPr>
              <w:t>R2 = 0.643</w:t>
            </w:r>
          </w:p>
        </w:tc>
        <w:tc>
          <w:tcPr>
            <w:tcW w:type="dxa" w:w="1440"/>
            <w:shd w:fill="F8FAFC"/>
          </w:tcPr>
          <w:p>
            <w:pPr>
              <w:jc w:val="left"/>
            </w:pPr>
            <w:r>
              <w:rPr>
                <w:rFonts w:ascii="Calibri" w:hAnsi="Calibri"/>
                <w:b w:val="0"/>
                <w:color w:val="0F172A"/>
                <w:sz w:val="17"/>
              </w:rPr>
              <w:t>R2 = 0.698</w:t>
            </w:r>
          </w:p>
        </w:tc>
        <w:tc>
          <w:tcPr>
            <w:tcW w:type="dxa" w:w="1296"/>
            <w:shd w:fill="F8FAFC"/>
          </w:tcPr>
          <w:p>
            <w:pPr>
              <w:jc w:val="left"/>
            </w:pPr>
            <w:r>
              <w:rPr>
                <w:rFonts w:ascii="Calibri" w:hAnsi="Calibri"/>
                <w:b w:val="0"/>
                <w:color w:val="0F172A"/>
                <w:sz w:val="17"/>
              </w:rPr>
              <w:t>+5.5% R2 gain</w:t>
            </w:r>
          </w:p>
        </w:tc>
        <w:tc>
          <w:tcPr>
            <w:tcW w:type="dxa" w:w="1872"/>
            <w:shd w:fill="F8FAFC"/>
          </w:tcPr>
          <w:p>
            <w:pPr>
              <w:jc w:val="left"/>
            </w:pPr>
            <w:r>
              <w:rPr>
                <w:rFonts w:ascii="Calibri" w:hAnsi="Calibri"/>
                <w:b w:val="0"/>
                <w:color w:val="0F172A"/>
                <w:sz w:val="17"/>
              </w:rPr>
              <w:t>Best overall continuous amount predictor; RMSE = 1.084.</w:t>
            </w:r>
          </w:p>
        </w:tc>
      </w:tr>
      <w:tr>
        <w:tc>
          <w:tcPr>
            <w:tcW w:type="dxa" w:w="2160"/>
            <w:shd w:fill="FFFFFF"/>
          </w:tcPr>
          <w:p>
            <w:pPr>
              <w:jc w:val="left"/>
            </w:pPr>
            <w:r>
              <w:rPr>
                <w:rFonts w:ascii="Calibri" w:hAnsi="Calibri"/>
                <w:b/>
                <w:color w:val="0F172A"/>
                <w:sz w:val="17"/>
              </w:rPr>
              <w:t>Random Forest Regressor</w:t>
            </w:r>
          </w:p>
        </w:tc>
        <w:tc>
          <w:tcPr>
            <w:tcW w:type="dxa" w:w="1296"/>
            <w:shd w:fill="FFFFFF"/>
          </w:tcPr>
          <w:p>
            <w:pPr>
              <w:jc w:val="left"/>
            </w:pPr>
            <w:r>
              <w:rPr>
                <w:rFonts w:ascii="Calibri" w:hAnsi="Calibri"/>
                <w:b w:val="0"/>
                <w:color w:val="0F172A"/>
                <w:sz w:val="17"/>
              </w:rPr>
              <w:t>Regression</w:t>
            </w:r>
          </w:p>
        </w:tc>
        <w:tc>
          <w:tcPr>
            <w:tcW w:type="dxa" w:w="1296"/>
            <w:shd w:fill="FFFFFF"/>
          </w:tcPr>
          <w:p>
            <w:pPr>
              <w:jc w:val="left"/>
            </w:pPr>
            <w:r>
              <w:rPr>
                <w:rFonts w:ascii="Calibri" w:hAnsi="Calibri"/>
                <w:b w:val="0"/>
                <w:color w:val="0F172A"/>
                <w:sz w:val="17"/>
              </w:rPr>
              <w:t>R2 = 0.633</w:t>
            </w:r>
          </w:p>
        </w:tc>
        <w:tc>
          <w:tcPr>
            <w:tcW w:type="dxa" w:w="1440"/>
            <w:shd w:fill="FFFFFF"/>
          </w:tcPr>
          <w:p>
            <w:pPr>
              <w:jc w:val="left"/>
            </w:pPr>
            <w:r>
              <w:rPr>
                <w:rFonts w:ascii="Calibri" w:hAnsi="Calibri"/>
                <w:b w:val="0"/>
                <w:color w:val="0F172A"/>
                <w:sz w:val="17"/>
              </w:rPr>
              <w:t>R2 = 0.686</w:t>
            </w:r>
          </w:p>
        </w:tc>
        <w:tc>
          <w:tcPr>
            <w:tcW w:type="dxa" w:w="1296"/>
            <w:shd w:fill="FFFFFF"/>
          </w:tcPr>
          <w:p>
            <w:pPr>
              <w:jc w:val="left"/>
            </w:pPr>
            <w:r>
              <w:rPr>
                <w:rFonts w:ascii="Calibri" w:hAnsi="Calibri"/>
                <w:b w:val="0"/>
                <w:color w:val="0F172A"/>
                <w:sz w:val="17"/>
              </w:rPr>
              <w:t>+5.3% R2 gain</w:t>
            </w:r>
          </w:p>
        </w:tc>
        <w:tc>
          <w:tcPr>
            <w:tcW w:type="dxa" w:w="1872"/>
            <w:shd w:fill="FFFFFF"/>
          </w:tcPr>
          <w:p>
            <w:pPr>
              <w:jc w:val="left"/>
            </w:pPr>
            <w:r>
              <w:rPr>
                <w:rFonts w:ascii="Calibri" w:hAnsi="Calibri"/>
                <w:b w:val="0"/>
                <w:color w:val="0F172A"/>
                <w:sz w:val="17"/>
              </w:rPr>
              <w:t>Robust to outliers; captures non-linear valuation bounds.</w:t>
            </w:r>
          </w:p>
        </w:tc>
      </w:tr>
      <w:tr>
        <w:tc>
          <w:tcPr>
            <w:tcW w:type="dxa" w:w="2160"/>
            <w:shd w:fill="F8FAFC"/>
          </w:tcPr>
          <w:p>
            <w:pPr>
              <w:jc w:val="left"/>
            </w:pPr>
            <w:r>
              <w:rPr>
                <w:rFonts w:ascii="Calibri" w:hAnsi="Calibri"/>
                <w:b/>
                <w:color w:val="0F172A"/>
                <w:sz w:val="17"/>
              </w:rPr>
              <w:t>OLS / Ridge / Lasso</w:t>
            </w:r>
          </w:p>
        </w:tc>
        <w:tc>
          <w:tcPr>
            <w:tcW w:type="dxa" w:w="1296"/>
            <w:shd w:fill="F8FAFC"/>
          </w:tcPr>
          <w:p>
            <w:pPr>
              <w:jc w:val="left"/>
            </w:pPr>
            <w:r>
              <w:rPr>
                <w:rFonts w:ascii="Calibri" w:hAnsi="Calibri"/>
                <w:b w:val="0"/>
                <w:color w:val="0F172A"/>
                <w:sz w:val="17"/>
              </w:rPr>
              <w:t>Regression</w:t>
            </w:r>
          </w:p>
        </w:tc>
        <w:tc>
          <w:tcPr>
            <w:tcW w:type="dxa" w:w="1296"/>
            <w:shd w:fill="F8FAFC"/>
          </w:tcPr>
          <w:p>
            <w:pPr>
              <w:jc w:val="left"/>
            </w:pPr>
            <w:r>
              <w:rPr>
                <w:rFonts w:ascii="Calibri" w:hAnsi="Calibri"/>
                <w:b w:val="0"/>
                <w:color w:val="0F172A"/>
                <w:sz w:val="17"/>
              </w:rPr>
              <w:t>R2 = 0.606</w:t>
            </w:r>
          </w:p>
        </w:tc>
        <w:tc>
          <w:tcPr>
            <w:tcW w:type="dxa" w:w="1440"/>
            <w:shd w:fill="F8FAFC"/>
          </w:tcPr>
          <w:p>
            <w:pPr>
              <w:jc w:val="left"/>
            </w:pPr>
            <w:r>
              <w:rPr>
                <w:rFonts w:ascii="Calibri" w:hAnsi="Calibri"/>
                <w:b w:val="0"/>
                <w:color w:val="0F172A"/>
                <w:sz w:val="17"/>
              </w:rPr>
              <w:t>R2 = 0.640</w:t>
            </w:r>
          </w:p>
        </w:tc>
        <w:tc>
          <w:tcPr>
            <w:tcW w:type="dxa" w:w="1296"/>
            <w:shd w:fill="F8FAFC"/>
          </w:tcPr>
          <w:p>
            <w:pPr>
              <w:jc w:val="left"/>
            </w:pPr>
            <w:r>
              <w:rPr>
                <w:rFonts w:ascii="Calibri" w:hAnsi="Calibri"/>
                <w:b w:val="0"/>
                <w:color w:val="0F172A"/>
                <w:sz w:val="17"/>
              </w:rPr>
              <w:t>+3.4% R2 gain</w:t>
            </w:r>
          </w:p>
        </w:tc>
        <w:tc>
          <w:tcPr>
            <w:tcW w:type="dxa" w:w="1872"/>
            <w:shd w:fill="F8FAFC"/>
          </w:tcPr>
          <w:p>
            <w:pPr>
              <w:jc w:val="left"/>
            </w:pPr>
            <w:r>
              <w:rPr>
                <w:rFonts w:ascii="Calibri" w:hAnsi="Calibri"/>
                <w:b w:val="0"/>
                <w:color w:val="0F172A"/>
                <w:sz w:val="17"/>
              </w:rPr>
              <w:t>Interpretable percentage elasticity coefficients.</w:t>
            </w:r>
          </w:p>
        </w:tc>
      </w:tr>
      <w:tr>
        <w:tc>
          <w:tcPr>
            <w:tcW w:type="dxa" w:w="2160"/>
            <w:shd w:fill="FFFFFF"/>
          </w:tcPr>
          <w:p>
            <w:pPr>
              <w:jc w:val="left"/>
            </w:pPr>
            <w:r>
              <w:rPr>
                <w:rFonts w:ascii="Calibri" w:hAnsi="Calibri"/>
                <w:b/>
                <w:color w:val="0F172A"/>
                <w:sz w:val="17"/>
              </w:rPr>
              <w:t>Logistic Regression</w:t>
            </w:r>
          </w:p>
        </w:tc>
        <w:tc>
          <w:tcPr>
            <w:tcW w:type="dxa" w:w="1296"/>
            <w:shd w:fill="FFFFFF"/>
          </w:tcPr>
          <w:p>
            <w:pPr>
              <w:jc w:val="left"/>
            </w:pPr>
            <w:r>
              <w:rPr>
                <w:rFonts w:ascii="Calibri" w:hAnsi="Calibri"/>
                <w:b w:val="0"/>
                <w:color w:val="0F172A"/>
                <w:sz w:val="17"/>
              </w:rPr>
              <w:t>Classification</w:t>
            </w:r>
          </w:p>
        </w:tc>
        <w:tc>
          <w:tcPr>
            <w:tcW w:type="dxa" w:w="1296"/>
            <w:shd w:fill="FFFFFF"/>
          </w:tcPr>
          <w:p>
            <w:pPr>
              <w:jc w:val="left"/>
            </w:pPr>
            <w:r>
              <w:rPr>
                <w:rFonts w:ascii="Calibri" w:hAnsi="Calibri"/>
                <w:b w:val="0"/>
                <w:color w:val="0F172A"/>
                <w:sz w:val="17"/>
              </w:rPr>
              <w:t>AUC = 0.889</w:t>
            </w:r>
          </w:p>
        </w:tc>
        <w:tc>
          <w:tcPr>
            <w:tcW w:type="dxa" w:w="1440"/>
            <w:shd w:fill="FFFFFF"/>
          </w:tcPr>
          <w:p>
            <w:pPr>
              <w:jc w:val="left"/>
            </w:pPr>
            <w:r>
              <w:rPr>
                <w:rFonts w:ascii="Calibri" w:hAnsi="Calibri"/>
                <w:b w:val="0"/>
                <w:color w:val="0F172A"/>
                <w:sz w:val="17"/>
              </w:rPr>
              <w:t>AUC = 0.890</w:t>
            </w:r>
          </w:p>
        </w:tc>
        <w:tc>
          <w:tcPr>
            <w:tcW w:type="dxa" w:w="1296"/>
            <w:shd w:fill="FFFFFF"/>
          </w:tcPr>
          <w:p>
            <w:pPr>
              <w:jc w:val="left"/>
            </w:pPr>
            <w:r>
              <w:rPr>
                <w:rFonts w:ascii="Calibri" w:hAnsi="Calibri"/>
                <w:b w:val="0"/>
                <w:color w:val="0F172A"/>
                <w:sz w:val="17"/>
              </w:rPr>
              <w:t>+0.1% AUC gain</w:t>
            </w:r>
          </w:p>
        </w:tc>
        <w:tc>
          <w:tcPr>
            <w:tcW w:type="dxa" w:w="1872"/>
            <w:shd w:fill="FFFFFF"/>
          </w:tcPr>
          <w:p>
            <w:pPr>
              <w:jc w:val="left"/>
            </w:pPr>
            <w:r>
              <w:rPr>
                <w:rFonts w:ascii="Calibri" w:hAnsi="Calibri"/>
                <w:b w:val="0"/>
                <w:color w:val="0F172A"/>
                <w:sz w:val="17"/>
              </w:rPr>
              <w:t>Highest overall AUC; well-calibrated probabilities.</w:t>
            </w:r>
          </w:p>
        </w:tc>
      </w:tr>
      <w:tr>
        <w:tc>
          <w:tcPr>
            <w:tcW w:type="dxa" w:w="2160"/>
            <w:shd w:fill="F8FAFC"/>
          </w:tcPr>
          <w:p>
            <w:pPr>
              <w:jc w:val="left"/>
            </w:pPr>
            <w:r>
              <w:rPr>
                <w:rFonts w:ascii="Calibri" w:hAnsi="Calibri"/>
                <w:b/>
                <w:color w:val="0F172A"/>
                <w:sz w:val="17"/>
              </w:rPr>
              <w:t>XGBoost Classifier</w:t>
            </w:r>
          </w:p>
        </w:tc>
        <w:tc>
          <w:tcPr>
            <w:tcW w:type="dxa" w:w="1296"/>
            <w:shd w:fill="F8FAFC"/>
          </w:tcPr>
          <w:p>
            <w:pPr>
              <w:jc w:val="left"/>
            </w:pPr>
            <w:r>
              <w:rPr>
                <w:rFonts w:ascii="Calibri" w:hAnsi="Calibri"/>
                <w:b w:val="0"/>
                <w:color w:val="0F172A"/>
                <w:sz w:val="17"/>
              </w:rPr>
              <w:t>Classification</w:t>
            </w:r>
          </w:p>
        </w:tc>
        <w:tc>
          <w:tcPr>
            <w:tcW w:type="dxa" w:w="1296"/>
            <w:shd w:fill="F8FAFC"/>
          </w:tcPr>
          <w:p>
            <w:pPr>
              <w:jc w:val="left"/>
            </w:pPr>
            <w:r>
              <w:rPr>
                <w:rFonts w:ascii="Calibri" w:hAnsi="Calibri"/>
                <w:b w:val="0"/>
                <w:color w:val="0F172A"/>
                <w:sz w:val="17"/>
              </w:rPr>
              <w:t>AUC = 0.869</w:t>
            </w:r>
          </w:p>
        </w:tc>
        <w:tc>
          <w:tcPr>
            <w:tcW w:type="dxa" w:w="1440"/>
            <w:shd w:fill="F8FAFC"/>
          </w:tcPr>
          <w:p>
            <w:pPr>
              <w:jc w:val="left"/>
            </w:pPr>
            <w:r>
              <w:rPr>
                <w:rFonts w:ascii="Calibri" w:hAnsi="Calibri"/>
                <w:b w:val="0"/>
                <w:color w:val="0F172A"/>
                <w:sz w:val="17"/>
              </w:rPr>
              <w:t>AUC = 0.877</w:t>
            </w:r>
          </w:p>
        </w:tc>
        <w:tc>
          <w:tcPr>
            <w:tcW w:type="dxa" w:w="1296"/>
            <w:shd w:fill="F8FAFC"/>
          </w:tcPr>
          <w:p>
            <w:pPr>
              <w:jc w:val="left"/>
            </w:pPr>
            <w:r>
              <w:rPr>
                <w:rFonts w:ascii="Calibri" w:hAnsi="Calibri"/>
                <w:b w:val="0"/>
                <w:color w:val="0F172A"/>
                <w:sz w:val="17"/>
              </w:rPr>
              <w:t>+0.8% AUC gain</w:t>
            </w:r>
          </w:p>
        </w:tc>
        <w:tc>
          <w:tcPr>
            <w:tcW w:type="dxa" w:w="1872"/>
            <w:shd w:fill="F8FAFC"/>
          </w:tcPr>
          <w:p>
            <w:pPr>
              <w:jc w:val="left"/>
            </w:pPr>
            <w:r>
              <w:rPr>
                <w:rFonts w:ascii="Calibri" w:hAnsi="Calibri"/>
                <w:b w:val="0"/>
                <w:color w:val="0F172A"/>
                <w:sz w:val="17"/>
              </w:rPr>
              <w:t>95.7% precision on stage graduation; minimal false alarms.</w:t>
            </w:r>
          </w:p>
        </w:tc>
      </w:tr>
      <w:tr>
        <w:tc>
          <w:tcPr>
            <w:tcW w:type="dxa" w:w="2160"/>
            <w:shd w:fill="FFFFFF"/>
          </w:tcPr>
          <w:p>
            <w:pPr>
              <w:jc w:val="left"/>
            </w:pPr>
            <w:r>
              <w:rPr>
                <w:rFonts w:ascii="Calibri" w:hAnsi="Calibri"/>
                <w:b/>
                <w:color w:val="0F172A"/>
                <w:sz w:val="17"/>
              </w:rPr>
              <w:t>Random Forest Classifier</w:t>
            </w:r>
          </w:p>
        </w:tc>
        <w:tc>
          <w:tcPr>
            <w:tcW w:type="dxa" w:w="1296"/>
            <w:shd w:fill="FFFFFF"/>
          </w:tcPr>
          <w:p>
            <w:pPr>
              <w:jc w:val="left"/>
            </w:pPr>
            <w:r>
              <w:rPr>
                <w:rFonts w:ascii="Calibri" w:hAnsi="Calibri"/>
                <w:b w:val="0"/>
                <w:color w:val="0F172A"/>
                <w:sz w:val="17"/>
              </w:rPr>
              <w:t>Classification</w:t>
            </w:r>
          </w:p>
        </w:tc>
        <w:tc>
          <w:tcPr>
            <w:tcW w:type="dxa" w:w="1296"/>
            <w:shd w:fill="FFFFFF"/>
          </w:tcPr>
          <w:p>
            <w:pPr>
              <w:jc w:val="left"/>
            </w:pPr>
            <w:r>
              <w:rPr>
                <w:rFonts w:ascii="Calibri" w:hAnsi="Calibri"/>
                <w:b w:val="0"/>
                <w:color w:val="0F172A"/>
                <w:sz w:val="17"/>
              </w:rPr>
              <w:t>AUC = 0.869</w:t>
            </w:r>
          </w:p>
        </w:tc>
        <w:tc>
          <w:tcPr>
            <w:tcW w:type="dxa" w:w="1440"/>
            <w:shd w:fill="FFFFFF"/>
          </w:tcPr>
          <w:p>
            <w:pPr>
              <w:jc w:val="left"/>
            </w:pPr>
            <w:r>
              <w:rPr>
                <w:rFonts w:ascii="Calibri" w:hAnsi="Calibri"/>
                <w:b w:val="0"/>
                <w:color w:val="0F172A"/>
                <w:sz w:val="17"/>
              </w:rPr>
              <w:t>AUC = 0.873</w:t>
            </w:r>
          </w:p>
        </w:tc>
        <w:tc>
          <w:tcPr>
            <w:tcW w:type="dxa" w:w="1296"/>
            <w:shd w:fill="FFFFFF"/>
          </w:tcPr>
          <w:p>
            <w:pPr>
              <w:jc w:val="left"/>
            </w:pPr>
            <w:r>
              <w:rPr>
                <w:rFonts w:ascii="Calibri" w:hAnsi="Calibri"/>
                <w:b w:val="0"/>
                <w:color w:val="0F172A"/>
                <w:sz w:val="17"/>
              </w:rPr>
              <w:t>+0.4% AUC gain</w:t>
            </w:r>
          </w:p>
        </w:tc>
        <w:tc>
          <w:tcPr>
            <w:tcW w:type="dxa" w:w="1872"/>
            <w:shd w:fill="FFFFFF"/>
          </w:tcPr>
          <w:p>
            <w:pPr>
              <w:jc w:val="left"/>
            </w:pPr>
            <w:r>
              <w:rPr>
                <w:rFonts w:ascii="Calibri" w:hAnsi="Calibri"/>
                <w:b w:val="0"/>
                <w:color w:val="0F172A"/>
                <w:sz w:val="17"/>
              </w:rPr>
              <w:t>98.7% precision; reliable deal screening heuristic.</w:t>
            </w:r>
          </w:p>
        </w:tc>
      </w:tr>
    </w:tbl>
    <w:p>
      <w:pPr>
        <w:pStyle w:val="Heading1"/>
      </w:pPr>
      <w:r>
        <w:t>Strategic Implications</w:t>
      </w:r>
    </w:p>
    <w:p>
      <w:r>
        <w:t>1. The Signaling Premium: Securing backing from a high-PageRank fund provides a measurable valuation premium in subsequent rounds, holding company age and sector constant.</w:t>
        <w:br/>
        <w:t>2. Precision Deal Sourcing: Automated classifiers combining operational metrics and syndicate centralities allow venture investors to flag high-probability breakout investments with &gt;95% precision.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