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E3A8A"/>
          <w:sz w:val="40"/>
        </w:rPr>
        <w:t>SUDAKSHINA DEB</w:t>
      </w:r>
    </w:p>
    <w:p>
      <w:pPr>
        <w:spacing w:before="0" w:after="60"/>
        <w:jc w:val="center"/>
      </w:pPr>
      <w:r>
        <w:rPr>
          <w:rFonts w:ascii="Calibri" w:hAnsi="Calibri"/>
          <w:b/>
          <w:color w:val="374151"/>
          <w:sz w:val="23"/>
        </w:rPr>
        <w:t>Senior Scientist — Discovery Biology &amp; Downstream Protein Sciences</w:t>
      </w:r>
    </w:p>
    <w:p>
      <w:pPr>
        <w:spacing w:before="0" w:after="160"/>
        <w:jc w:val="center"/>
      </w:pPr>
      <w:r>
        <w:rPr>
          <w:rFonts w:ascii="Calibri" w:hAnsi="Calibri"/>
          <w:color w:val="4B5563"/>
          <w:sz w:val="19"/>
        </w:rPr>
        <w:t>Bengaluru, India  |  +91-7005314758  |  sudakshinadeb97@gmail.com  |  linkedin.com/in/sudakshina-deb</w:t>
      </w:r>
    </w:p>
    <w:p>
      <w:pPr>
        <w:spacing w:before="160" w:after="60"/>
        <w:pBdr>
          <w:bottom w:val="single" w:sz="10" w:space="4" w:color="1E3A8A"/>
        </w:pBdr>
      </w:pPr>
      <w:r>
        <w:rPr>
          <w:rFonts w:ascii="Calibri" w:hAnsi="Calibri"/>
          <w:b/>
          <w:color w:val="1E3A8A"/>
          <w:sz w:val="22"/>
        </w:rPr>
        <w:t>PROFESSIONAL PROFILE</w:t>
      </w:r>
    </w:p>
    <w:p>
      <w:pPr>
        <w:spacing w:before="40" w:after="120" w:line="276" w:lineRule="auto"/>
      </w:pPr>
      <w:r>
        <w:rPr>
          <w:rFonts w:ascii="Calibri" w:hAnsi="Calibri"/>
          <w:color w:val="374151"/>
          <w:sz w:val="19"/>
        </w:rPr>
        <w:t>Results-driven Senior Scientist with ~4 years of biopharmaceutical industry experience in Discovery Biology and Downstream Protein Sciences at Syngene International Ltd. Proven track record leading end-to-end purification of complex biologics—including monoclonal antibodies (mAbs), bispecific antibodies (bsAbs), and His-tagged recombinant proteins—utilizing ÄKTA chromatography systems (Protein A/G, Ni-NTA, IEX, HIC, SEC) and Tangential Flow Filtration (TFF). Highly proficient in analytical release testing and quality characterization (SEC-HPLC, SDS-PAGE, Western blot, LC-MS/MS, UV-Vis, Endosafe kinetic LAL endotoxin assays) under strict GLP/ALCOA++ data integrity compliance. Seamlessly integrates wet-lab bioprocess rigor with computational genomics and bioinformatics workflows (Python, R, QIIME2, AlphaFold2). Conferred the Syngene SPOT Award (Feb 2023) for rapid troubleshooting and high-recovery protein delivery for global biopharma clients.</w:t>
      </w:r>
    </w:p>
    <w:p>
      <w:pPr>
        <w:spacing w:before="160" w:after="60"/>
        <w:pBdr>
          <w:bottom w:val="single" w:sz="10" w:space="4" w:color="1E3A8A"/>
        </w:pBdr>
      </w:pPr>
      <w:r>
        <w:rPr>
          <w:rFonts w:ascii="Calibri" w:hAnsi="Calibri"/>
          <w:b/>
          <w:color w:val="1E3A8A"/>
          <w:sz w:val="22"/>
        </w:rPr>
        <w:t>CORE TECHNICAL COMPETENCIES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Downstream Bioprocess &amp; Chromatography: </w:t>
      </w:r>
      <w:r>
        <w:rPr>
          <w:rFonts w:ascii="Calibri" w:hAnsi="Calibri"/>
          <w:color w:val="374151"/>
          <w:sz w:val="19"/>
        </w:rPr>
        <w:t>ÄKTA Pure, ÄKTA Avant, UNICORN software; Affinity (Protein A/G, Ni-NTA His-tag), Ion Exchange (IEX/CEX/AEX), Hydrophobic Interaction (HIC), Size Exclusion (SEC/GFC); Desalting, Buffer Exchange, Batch Binding, Dialysis, Ultrafiltration/Diafiltration (UF/DF), Tangential Flow Filtration (TFF, Pellicon cassettes).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Bioanalytical Characterization &amp; Quality Release: </w:t>
      </w:r>
      <w:r>
        <w:rPr>
          <w:rFonts w:ascii="Calibri" w:hAnsi="Calibri"/>
          <w:color w:val="374151"/>
          <w:sz w:val="19"/>
        </w:rPr>
        <w:t>SEC-HPLC (monomer purity &amp; aggregate profiling), SDS-PAGE (reducing/non-reducing), Western Blotting, LC-MS/MS, UV-Vis Spectrophotometry, Endosafe PTS/MCS (kinetic LAL endotoxin testing/removal), Flow Cytometry, Protein Impurity Characterization.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Molecular Biology &amp; Laboratory Workflows: </w:t>
      </w:r>
      <w:r>
        <w:rPr>
          <w:rFonts w:ascii="Calibri" w:hAnsi="Calibri"/>
          <w:color w:val="374151"/>
          <w:sz w:val="19"/>
        </w:rPr>
        <w:t>Recombinant protein expression, PCR, Primer Design, Sanger Sequencing, Gene Expression Profiling, Aseptic Mammalian Cell Culture, Media Prep, Passaging, In Vivo Animal Handling (rodent surgical procedures, model organisms).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Computational Biology &amp; Data Science: </w:t>
      </w:r>
      <w:r>
        <w:rPr>
          <w:rFonts w:ascii="Calibri" w:hAnsi="Calibri"/>
          <w:color w:val="374151"/>
          <w:sz w:val="19"/>
        </w:rPr>
        <w:t>Python (Pandas, Biopython), R (tidyverse), Linux/Bash shell scripting, NGS Genomic Data Analysis, QIIME2 (DADA2 pipeline), AlphaFold2 (ColabFold), In Silico Antibody CDR Engineering, Biological Databases (SILVA, NCBI BLAST, STRING, ExPASy).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Quality &amp; Regulatory Governance: </w:t>
      </w:r>
      <w:r>
        <w:rPr>
          <w:rFonts w:ascii="Calibri" w:hAnsi="Calibri"/>
          <w:color w:val="374151"/>
          <w:sz w:val="19"/>
        </w:rPr>
        <w:t>ALCOA++ Data Integrity Standards, Standard Operating Procedures (SOPs), Batch Manufacturing Records (BMRs), GLP/GMP Laboratory Compliance, Cross-Functional Client Milestone Delivery.</w:t>
      </w:r>
    </w:p>
    <w:p>
      <w:pPr>
        <w:spacing w:before="160" w:after="60"/>
        <w:pBdr>
          <w:bottom w:val="single" w:sz="10" w:space="4" w:color="1E3A8A"/>
        </w:pBdr>
      </w:pPr>
      <w:r>
        <w:rPr>
          <w:rFonts w:ascii="Calibri" w:hAnsi="Calibri"/>
          <w:b/>
          <w:color w:val="1E3A8A"/>
          <w:sz w:val="22"/>
        </w:rPr>
        <w:t>PROFESSIONAL INDUSTRY EXPERIENCE</w:t>
      </w:r>
    </w:p>
    <w:p>
      <w:pPr>
        <w:spacing w:before="80" w:after="20"/>
      </w:pPr>
      <w:r>
        <w:rPr>
          <w:rFonts w:ascii="Calibri" w:hAnsi="Calibri"/>
          <w:b/>
          <w:color w:val="1F2937"/>
          <w:sz w:val="21"/>
        </w:rPr>
        <w:t>SYNGENE INTERNATIONAL LIMITED</w:t>
      </w:r>
      <w:r>
        <w:rPr>
          <w:rFonts w:ascii="Calibri" w:hAnsi="Calibri"/>
          <w:color w:val="4B5563"/>
          <w:sz w:val="19"/>
        </w:rPr>
        <w:t xml:space="preserve">  |  Bengaluru, India</w:t>
      </w:r>
    </w:p>
    <w:p>
      <w:pPr>
        <w:spacing w:before="0" w:after="40"/>
      </w:pPr>
      <w:r>
        <w:rPr>
          <w:rFonts w:ascii="Calibri" w:hAnsi="Calibri"/>
          <w:b/>
          <w:i/>
          <w:color w:val="1E3A8A"/>
          <w:sz w:val="20"/>
        </w:rPr>
        <w:t>Senior Scientist – Discovery Biology</w:t>
      </w:r>
      <w:r>
        <w:rPr>
          <w:rFonts w:ascii="Calibri" w:hAnsi="Calibri"/>
          <w:color w:val="4B5563"/>
          <w:sz w:val="19"/>
        </w:rPr>
        <w:t xml:space="preserve">  |  May 2022 – Present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Biotherapeutic Downstream Purification: </w:t>
      </w:r>
      <w:r>
        <w:rPr>
          <w:rFonts w:ascii="Calibri" w:hAnsi="Calibri"/>
          <w:color w:val="374151"/>
          <w:sz w:val="19"/>
        </w:rPr>
        <w:t>Lead multi-step preparative chromatography purification workflows for 40+ recombinant therapeutic projects, including mono- and bi-specific antibodies and His-tagged proteins using ÄKTA Pure and ÄKTA Avant systems.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Chromatography Method Development: </w:t>
      </w:r>
      <w:r>
        <w:rPr>
          <w:rFonts w:ascii="Calibri" w:hAnsi="Calibri"/>
          <w:color w:val="374151"/>
          <w:sz w:val="19"/>
        </w:rPr>
        <w:t>Developed, scaled, and standardized chromatographic purification protocols across Protein A/G, Ni-NTA, CEX, AEX, HIC, and SEC, consistently achieving &gt;95% monomer purity and quantitative recovery yields.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Bioprocess &amp; TFF Filtration: </w:t>
      </w:r>
      <w:r>
        <w:rPr>
          <w:rFonts w:ascii="Calibri" w:hAnsi="Calibri"/>
          <w:color w:val="374151"/>
          <w:sz w:val="19"/>
        </w:rPr>
        <w:t>Formulated and optimized Tangential Flow Filtration (TFF) and ultrafiltration/diafiltration (UF/DF) operational parameters, improving cycle turnaround by 25% while safeguarding product stability.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Analytical Release Testing: </w:t>
      </w:r>
      <w:r>
        <w:rPr>
          <w:rFonts w:ascii="Calibri" w:hAnsi="Calibri"/>
          <w:color w:val="374151"/>
          <w:sz w:val="19"/>
        </w:rPr>
        <w:t>Conducted routine release testing and quality characterization via SEC-HPLC aggregate profiling, reducing and non-reducing SDS-PAGE, Western blot validation, UV-Vis, and Endosafe kinetic LAL endotoxin quantification.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Cross-Functional Client Delivery: </w:t>
      </w:r>
      <w:r>
        <w:rPr>
          <w:rFonts w:ascii="Calibri" w:hAnsi="Calibri"/>
          <w:color w:val="374151"/>
          <w:sz w:val="19"/>
        </w:rPr>
        <w:t>Collaborated with cross-functional Discovery Biology and analytical teams to optimize protocols, troubleshoot challenging aggregation barriers, and ensure timely delivery of complex proteins for global biopharma clients.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Syngene SPOT Award (Feb 2023): </w:t>
      </w:r>
      <w:r>
        <w:rPr>
          <w:rFonts w:ascii="Calibri" w:hAnsi="Calibri"/>
          <w:color w:val="374151"/>
          <w:sz w:val="19"/>
        </w:rPr>
        <w:t>Recognized with departmental SPOT Award for producing and delivering highly challenging proteins within compressed timelines, earning direct client commendation.</w:t>
      </w:r>
    </w:p>
    <w:p>
      <w:pPr>
        <w:spacing w:before="100" w:after="20"/>
      </w:pPr>
      <w:r>
        <w:rPr>
          <w:rFonts w:ascii="Calibri" w:hAnsi="Calibri"/>
          <w:b/>
          <w:color w:val="1F2937"/>
          <w:sz w:val="21"/>
        </w:rPr>
        <w:t>RAJIV GANDHI CENTRE FOR BIOTECHNOLOGY (RGCB)</w:t>
      </w:r>
      <w:r>
        <w:rPr>
          <w:rFonts w:ascii="Calibri" w:hAnsi="Calibri"/>
          <w:color w:val="4B5563"/>
          <w:sz w:val="19"/>
        </w:rPr>
        <w:t xml:space="preserve">  |  Trivandrum, India</w:t>
      </w:r>
    </w:p>
    <w:p>
      <w:pPr>
        <w:spacing w:before="0" w:after="40"/>
      </w:pPr>
      <w:r>
        <w:rPr>
          <w:rFonts w:ascii="Calibri" w:hAnsi="Calibri"/>
          <w:b/>
          <w:i/>
          <w:color w:val="1E3A8A"/>
          <w:sz w:val="20"/>
        </w:rPr>
        <w:t>Research Trainee – Human Molecular Genetics Laboratory</w:t>
      </w:r>
      <w:r>
        <w:rPr>
          <w:rFonts w:ascii="Calibri" w:hAnsi="Calibri"/>
          <w:color w:val="4B5563"/>
          <w:sz w:val="19"/>
        </w:rPr>
        <w:t xml:space="preserve">  |  Oct 2021 – Apr 2022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Genetics &amp; Molecular Workflows: </w:t>
      </w:r>
      <w:r>
        <w:rPr>
          <w:rFonts w:ascii="Calibri" w:hAnsi="Calibri"/>
          <w:color w:val="374151"/>
          <w:sz w:val="19"/>
        </w:rPr>
        <w:t>Investigated molecular and statistical genetic approaches, genotyping workflows, and candidate gene association studies in neurodevelopmental disorders.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Experimental Execution: </w:t>
      </w:r>
      <w:r>
        <w:rPr>
          <w:rFonts w:ascii="Calibri" w:hAnsi="Calibri"/>
          <w:color w:val="374151"/>
          <w:sz w:val="19"/>
        </w:rPr>
        <w:t>Performed primer design, PCR optimization, agarose gel electrophoresis, RNA/DNA isolation, cell culture, and Sanger sequencing analyses.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Computational Scripting &amp; Publication: </w:t>
      </w:r>
      <w:r>
        <w:rPr>
          <w:rFonts w:ascii="Calibri" w:hAnsi="Calibri"/>
          <w:color w:val="374151"/>
          <w:sz w:val="19"/>
        </w:rPr>
        <w:t>Implemented bash and Python scripts for NGS data analysis and sequence alignment; synthesized findings into a review manuscript analyzing de novo genomic variations published in a peer-reviewed journal.</w:t>
      </w:r>
    </w:p>
    <w:p>
      <w:pPr>
        <w:spacing w:before="160" w:after="60"/>
        <w:pBdr>
          <w:bottom w:val="single" w:sz="10" w:space="4" w:color="1E3A8A"/>
        </w:pBdr>
      </w:pPr>
      <w:r>
        <w:rPr>
          <w:rFonts w:ascii="Calibri" w:hAnsi="Calibri"/>
          <w:b/>
          <w:color w:val="1E3A8A"/>
          <w:sz w:val="22"/>
        </w:rPr>
        <w:t>APPLIED BIOPHARMA &amp; COMPUTATIONAL PROJECTS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Computational Antibody Design &amp; Developability (IBAB Hackathon | Dec 2025): </w:t>
      </w:r>
      <w:r>
        <w:rPr>
          <w:rFonts w:ascii="Calibri" w:hAnsi="Calibri"/>
          <w:color w:val="374151"/>
          <w:sz w:val="19"/>
        </w:rPr>
        <w:t>Redesigned Keytruda (anti-PD-1) using CDR engineering and germline-based framework optimization. Modeled 3D tertiary structures via AlphaFold2 (ColabFold) and applied rational in silico mutagenesis to optimize binding affinity, conformational stability, and biophysical developability.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Oral Microbiome Biomarker Discovery for Early Cancer Detection (Jan 2026): </w:t>
      </w:r>
      <w:r>
        <w:rPr>
          <w:rFonts w:ascii="Calibri" w:hAnsi="Calibri"/>
          <w:color w:val="374151"/>
          <w:sz w:val="19"/>
        </w:rPr>
        <w:t>Investigated 16S rRNA sequencing datasets using QIIME2 (DADA2) for quality control, denoising, and ASV generation; performed alpha/beta diversity and taxonomic profiling (SILVA); developed machine learning classification models (logistic regression, decision trees) in Python/R to identify non-invasive diagnostic biomarkers.</w:t>
      </w:r>
    </w:p>
    <w:p>
      <w:pPr>
        <w:spacing w:before="160" w:after="60"/>
        <w:pBdr>
          <w:bottom w:val="single" w:sz="10" w:space="4" w:color="1E3A8A"/>
        </w:pBdr>
      </w:pPr>
      <w:r>
        <w:rPr>
          <w:rFonts w:ascii="Calibri" w:hAnsi="Calibri"/>
          <w:b/>
          <w:color w:val="1E3A8A"/>
          <w:sz w:val="22"/>
        </w:rPr>
        <w:t>EDUCATION &amp; CREDENTIALS</w:t>
      </w:r>
    </w:p>
    <w:p>
      <w:pPr>
        <w:spacing w:before="60" w:after="20"/>
      </w:pPr>
      <w:r>
        <w:rPr>
          <w:rFonts w:ascii="Calibri" w:hAnsi="Calibri"/>
          <w:b/>
          <w:color w:val="1F2937"/>
          <w:sz w:val="20"/>
        </w:rPr>
        <w:t>Post Graduate Diploma in Bioinformatics &amp; Genomics (Data Science)</w:t>
      </w:r>
    </w:p>
    <w:p>
      <w:pPr>
        <w:spacing w:before="0" w:after="40"/>
      </w:pPr>
      <w:r>
        <w:rPr>
          <w:rFonts w:ascii="Calibri" w:hAnsi="Calibri"/>
          <w:i/>
          <w:color w:val="374151"/>
          <w:sz w:val="19"/>
        </w:rPr>
        <w:t>Bversity  (Jul 2025 – Present)</w:t>
      </w:r>
      <w:r>
        <w:rPr>
          <w:rFonts w:ascii="Calibri" w:hAnsi="Calibri"/>
          <w:b/>
          <w:color w:val="1E3A8A"/>
          <w:sz w:val="19"/>
        </w:rPr>
        <w:t xml:space="preserve">  |  Advanced Specialization</w:t>
      </w:r>
    </w:p>
    <w:p>
      <w:pPr>
        <w:spacing w:before="60" w:after="20"/>
      </w:pPr>
      <w:r>
        <w:rPr>
          <w:rFonts w:ascii="Calibri" w:hAnsi="Calibri"/>
          <w:b/>
          <w:color w:val="1F2937"/>
          <w:sz w:val="20"/>
        </w:rPr>
        <w:t>Master of Science (M.Sc.) in Zoology (Honours)</w:t>
      </w:r>
    </w:p>
    <w:p>
      <w:pPr>
        <w:spacing w:before="0" w:after="40"/>
      </w:pPr>
      <w:r>
        <w:rPr>
          <w:rFonts w:ascii="Calibri" w:hAnsi="Calibri"/>
          <w:i/>
          <w:color w:val="374151"/>
          <w:sz w:val="19"/>
        </w:rPr>
        <w:t>North-Eastern Hill University (NEHU), Shillong  (2018 – 2020)</w:t>
      </w:r>
      <w:r>
        <w:rPr>
          <w:rFonts w:ascii="Calibri" w:hAnsi="Calibri"/>
          <w:b/>
          <w:color w:val="1E3A8A"/>
          <w:sz w:val="19"/>
        </w:rPr>
        <w:t xml:space="preserve">  |  CGPA: 5.5 / 6.0 scale</w:t>
      </w:r>
    </w:p>
    <w:p>
      <w:pPr>
        <w:spacing w:before="60" w:after="20"/>
      </w:pPr>
      <w:r>
        <w:rPr>
          <w:rFonts w:ascii="Calibri" w:hAnsi="Calibri"/>
          <w:b/>
          <w:color w:val="1F2937"/>
          <w:sz w:val="20"/>
        </w:rPr>
        <w:t>Bachelor of Science (B.Sc.) in Zoology (Honours)</w:t>
      </w:r>
    </w:p>
    <w:p>
      <w:pPr>
        <w:spacing w:before="0" w:after="40"/>
      </w:pPr>
      <w:r>
        <w:rPr>
          <w:rFonts w:ascii="Calibri" w:hAnsi="Calibri"/>
          <w:i/>
          <w:color w:val="374151"/>
          <w:sz w:val="19"/>
        </w:rPr>
        <w:t>St. Edmund’s College, NEHU, Shillong  (2015 – 2018)</w:t>
      </w:r>
      <w:r>
        <w:rPr>
          <w:rFonts w:ascii="Calibri" w:hAnsi="Calibri"/>
          <w:b/>
          <w:color w:val="1E3A8A"/>
          <w:sz w:val="19"/>
        </w:rPr>
        <w:t xml:space="preserve">  |  81.5% — First Rank Holder (Prof. D.C. Dhar Memorial Award)</w:t>
      </w:r>
    </w:p>
    <w:p>
      <w:pPr>
        <w:spacing w:before="160" w:after="60"/>
        <w:pBdr>
          <w:bottom w:val="single" w:sz="10" w:space="4" w:color="1E3A8A"/>
        </w:pBdr>
      </w:pPr>
      <w:r>
        <w:rPr>
          <w:rFonts w:ascii="Calibri" w:hAnsi="Calibri"/>
          <w:b/>
          <w:color w:val="1E3A8A"/>
          <w:sz w:val="22"/>
        </w:rPr>
        <w:t>PUBLICATIONS, HONORS &amp; CERTIFICATIONS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Peer-Reviewed Publication: </w:t>
      </w:r>
      <w:r>
        <w:rPr>
          <w:rFonts w:ascii="Calibri" w:hAnsi="Calibri"/>
          <w:color w:val="374151"/>
          <w:sz w:val="19"/>
        </w:rPr>
        <w:t>Deb, S. (2025). The mosaic genome: De novo variations driving neurodevelopment in autism spectrum disorder, intellectual disability, and epilepsy. IP Indian Journal of Neurosciences, 11(3), 133–143. doi:10.18231/j.ijn.11927.1759983172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Syngene SPOT Award (Feb 2023): </w:t>
      </w:r>
      <w:r>
        <w:rPr>
          <w:rFonts w:ascii="Calibri" w:hAnsi="Calibri"/>
          <w:color w:val="374151"/>
          <w:sz w:val="19"/>
        </w:rPr>
        <w:t>Conferred by Dept. of Discovery Biology for exemplary troubleshooting and on-time delivery of critical client biotherapeutic batches.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Academic Honors &amp; Awards: </w:t>
      </w:r>
      <w:r>
        <w:rPr>
          <w:rFonts w:ascii="Calibri" w:hAnsi="Calibri"/>
          <w:color w:val="374151"/>
          <w:sz w:val="19"/>
        </w:rPr>
        <w:t>Prof. D.C. Dhar Memorial Award (First Rank Holder in B.Sc. Zoology Honours); Certificate of Academic Excellence (3rd Rank in NEHU University Merit List); Rajendra Kumar Sunheri Devi Charitable Endowment Book Grant (Top 2% of batch).</w:t>
      </w:r>
    </w:p>
    <w:p>
      <w:pPr>
        <w:pStyle w:val="ListBullet"/>
        <w:spacing w:before="30" w:after="40" w:line="269" w:lineRule="auto"/>
      </w:pPr>
      <w:r>
        <w:rPr>
          <w:rFonts w:ascii="Calibri" w:hAnsi="Calibri"/>
          <w:b/>
          <w:color w:val="1F2937"/>
          <w:sz w:val="19"/>
        </w:rPr>
        <w:t xml:space="preserve">Specialized Certifications: </w:t>
      </w:r>
      <w:r>
        <w:rPr>
          <w:rFonts w:ascii="Calibri" w:hAnsi="Calibri"/>
          <w:color w:val="374151"/>
          <w:sz w:val="19"/>
        </w:rPr>
        <w:t>Statistical Analysis &amp; Interpretation using SPSS (GISS, 2021); Molecular &amp; Biochemistry Techniques Training (IIT Kharagpur Springfest, 2020); Neuroscience Reconstructed: Genetics &amp; Development (EPFL - edX).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