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Comparative Image Colorization on Places365: CNN, Conditional GAN, and Edge-Conditioned ControlNet</w:t>
      </w:r>
    </w:p>
    <w:p>
      <w:pPr>
        <w:jc w:val="center"/>
      </w:pPr>
      <w:r>
        <w:t>Course project report (Word export)</w:t>
      </w:r>
    </w:p>
    <w:p/>
    <w:p>
      <w:pPr>
        <w:pStyle w:val="Heading1"/>
      </w:pPr>
      <w:r>
        <w:t>Abstract</w:t>
      </w:r>
    </w:p>
    <w:p>
      <w:r>
        <w:rPr>
          <w:b w:val="0"/>
          <w:sz w:val="22"/>
        </w:rPr>
        <w:t>We compare three approaches to automatic colorization on a subset of Places365: (1) a small CNN predicting CIE-Lab ab from luminance L; (2) a Pix2Pix-style conditional GAN with PatchGAN discriminator, including a two-phase hyperparameter study; and (3) fine-tuning a Stable Diffusion 1.5 ControlNet conditioned on HED soft-edge maps, with luminance-lock post-processing. At a modest training budget (4k–8k images, single 24 GB GPU), the ControlNet achieves sample PSNR up to ~26.8 dB and SSIM ~0.97 while preserving input structure. We document failure modes, an edge-detector ablation, and inference latency spanning four orders of magnitude.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Problem statement</w:t>
      </w:r>
    </w:p>
    <w:p>
      <w:r>
        <w:rPr>
          <w:b w:val="0"/>
          <w:sz w:val="22"/>
        </w:rPr>
        <w:t>Grayscale-to-color mapping is ill-posed: many RGB images share the same luminance. Practical systems must trade colour plausibility, fidelity to ground truth when recoverable, and structural preservation.</w:t>
      </w:r>
    </w:p>
    <w:p>
      <w:pPr>
        <w:pStyle w:val="Heading2"/>
      </w:pPr>
      <w:r>
        <w:t>1.2 Research question</w:t>
      </w:r>
    </w:p>
    <w:p>
      <w:r>
        <w:rPr>
          <w:b w:val="0"/>
          <w:sz w:val="22"/>
        </w:rPr>
        <w:t>How do a vanilla Lab-space CNN, a conditional GAN, and a diffusion-based ControlNet compare under the same small-data, single-GPU budget—and which design choices most affect structural quality for the diffusion path?</w:t>
      </w:r>
    </w:p>
    <w:p>
      <w:pPr>
        <w:pStyle w:val="Heading2"/>
      </w:pPr>
      <w:r>
        <w:t>1.3 Related work (summary)</w:t>
      </w:r>
    </w:p>
    <w:p>
      <w:r>
        <w:rPr>
          <w:b w:val="0"/>
          <w:sz w:val="22"/>
        </w:rPr>
        <w:t>Representative lines include: deep colorization (Iizuka et al.; Larsson et al.; Zhang et al. Colorful); user-guided colorization (Zhang et al.); Pix2Pix conditional GANs (Isola et al.); instance-aware colorization (Su et al.); Colorization Transformer (Kumar et al.); latent diffusion / Stable Diffusion (Rombach et al.); ControlNet (Zhang et al.); Palette diffusion image-to-image (Saharia et al.); DDPM (Ho et al.); classical edges (Canny; HED); Places365 (Zhou et al.); SSIM (Wang et al.); conditional GANs (Mirza &amp; Osindero); RePaint (Lugmayr et al.).</w:t>
      </w:r>
    </w:p>
    <w:p>
      <w:pPr>
        <w:pStyle w:val="Heading2"/>
      </w:pPr>
      <w:r>
        <w:t>1.4 Gap and contributions</w:t>
      </w:r>
    </w:p>
    <w:p>
      <w:r>
        <w:rPr>
          <w:b w:val="0"/>
          <w:sz w:val="22"/>
        </w:rPr>
        <w:t>Gap: few apples-to-apples comparisons at student-scale budgets; diffusion colorization often drifts structurally without explicit safeguards; edge preprocessors are rarely ablated for this task.</w:t>
      </w:r>
    </w:p>
    <w:p>
      <w:r>
        <w:rPr>
          <w:b w:val="0"/>
          <w:sz w:val="22"/>
        </w:rPr>
        <w:t>Contributions: three-method benchmark on Places365; luminance lock for diffusion outputs; empirical ablation (from-scratch vs. pretrained ControlNet; grayscale vs. Canny vs. HED softedge); reproducible software pins.</w:t>
      </w:r>
    </w:p>
    <w:p>
      <w:pPr>
        <w:pStyle w:val="Heading1"/>
      </w:pPr>
      <w:r>
        <w:t>2. Data and preprocessing</w:t>
      </w:r>
    </w:p>
    <w:p>
      <w:r>
        <w:rPr>
          <w:b w:val="0"/>
          <w:sz w:val="22"/>
        </w:rPr>
        <w:t>Dataset: Places365 train-standard, small (256×256) via torchvision. Subsets: 4,000 images for CNN/cGAN (resize to 128×128); 8,000 for ControlNet (resize to 384×384). Train/val split 90/10, seed 42. CNN/cGAN: RGB→Lab, L∈[0,1], ab normalized to ~[-1,1]. ControlNet: target RGB in [-1,1] for VAE; conditioning is HED softedge (default) or other preprocessors in ablations.</w:t>
      </w:r>
    </w:p>
    <w:p>
      <w:pPr>
        <w:pStyle w:val="Heading1"/>
      </w:pPr>
      <w:r>
        <w:t>3. Methodology</w:t>
      </w:r>
    </w:p>
    <w:p>
      <w:r>
        <w:rPr>
          <w:b w:val="0"/>
          <w:sz w:val="22"/>
        </w:rPr>
        <w:t>CNN: encoder–decoder ColorizationCNN, L1 on ab, Adam lr=1e−3. cGAN: generator G([L;z])→ab, PatchGAN D on concat(L,ab), BCE + λ·L1, two-phase grid over lr_G, lr_D, λ_L1 then 50-epoch retrain of best config. ControlNet: frozen SD-1.5 VAE/UNet/text encoder; trainable ControlNet from lllyasviel/control_v11p_sd15_softedge; latent ε-prediction MSE; optional luminance lock replaces predicted L with input L in Lab before RGB export.</w:t>
      </w:r>
    </w:p>
    <w:p>
      <w:r>
        <w:t>Process diagram: see report.tex Figure 1 (TikZ) or recreate in slides.</w:t>
      </w:r>
    </w:p>
    <w:p>
      <w:pPr>
        <w:pStyle w:val="Heading1"/>
      </w:pPr>
      <w:r>
        <w:t>4. Experimental setup</w:t>
      </w:r>
    </w:p>
    <w:p>
      <w:r>
        <w:rPr>
          <w:b w:val="0"/>
          <w:sz w:val="22"/>
        </w:rPr>
        <w:t>Hardware: AWS g5.2xlarge, NVIDIA A10G 24 GB, AMD EPYC 7R32 (8 vCPU), 32 GiB RAM, Ubuntu 24.04. Software: Python 3.12, torch 2.4.1+cu121, torchvision 0.19.1+cu121, diffusers 0.31.0, transformers 4.46.3, controlnet_aux, opencv-python-headless, scikit-image. NVIDIA driver 535 with precompiled linux-modules-nvidia-535-server and nvidia-headless-no-dkms-535-server; nvidia-modprobe for /dev nodes.</w:t>
      </w:r>
    </w:p>
    <w:p>
      <w:pPr>
        <w:pStyle w:val="Heading1"/>
      </w:pPr>
      <w:r>
        <w:t>5. Results</w:t>
      </w:r>
    </w:p>
    <w:p>
      <w:pPr>
        <w:pStyle w:val="Heading2"/>
      </w:pPr>
      <w:r>
        <w:t>5.1 cGAN phase-1 grid (val L1 on ab, lower better)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lr_G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lr_D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lambda_L1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val L1</w:t>
            </w:r>
          </w:p>
        </w:tc>
      </w:tr>
      <w:tr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0.1041</w:t>
            </w:r>
          </w:p>
        </w:tc>
      </w:tr>
      <w:tr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0.0886</w:t>
            </w:r>
          </w:p>
        </w:tc>
      </w:tr>
      <w:tr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0.0706</w:t>
            </w:r>
          </w:p>
        </w:tc>
      </w:tr>
      <w:tr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0.1043</w:t>
            </w:r>
          </w:p>
        </w:tc>
      </w:tr>
      <w:tr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0.0802</w:t>
            </w:r>
          </w:p>
        </w:tc>
      </w:tr>
      <w:tr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0.0706</w:t>
            </w:r>
          </w:p>
        </w:tc>
      </w:tr>
      <w:tr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0.0894</w:t>
            </w:r>
          </w:p>
        </w:tc>
      </w:tr>
      <w:tr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0.0922</w:t>
            </w:r>
          </w:p>
        </w:tc>
      </w:tr>
      <w:tr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0.0715</w:t>
            </w:r>
          </w:p>
        </w:tc>
      </w:tr>
      <w:tr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0.0994</w:t>
            </w:r>
          </w:p>
        </w:tc>
      </w:tr>
      <w:tr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0.0878</w:t>
            </w:r>
          </w:p>
        </w:tc>
      </w:tr>
      <w:tr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0.0822</w:t>
            </w:r>
          </w:p>
        </w:tc>
      </w:tr>
      <w:tr>
        <w:tc>
          <w:tcPr>
            <w:tcW w:type="dxa" w:w="2160"/>
          </w:tcPr>
          <w:p>
            <w:r>
              <w:t>4e-4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0.1002</w:t>
            </w:r>
          </w:p>
        </w:tc>
      </w:tr>
      <w:tr>
        <w:tc>
          <w:tcPr>
            <w:tcW w:type="dxa" w:w="2160"/>
          </w:tcPr>
          <w:p>
            <w:r>
              <w:t>4e-4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0.0911</w:t>
            </w:r>
          </w:p>
        </w:tc>
      </w:tr>
      <w:tr>
        <w:tc>
          <w:tcPr>
            <w:tcW w:type="dxa" w:w="2160"/>
          </w:tcPr>
          <w:p>
            <w:r>
              <w:t>4e-4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0.0736</w:t>
            </w:r>
          </w:p>
        </w:tc>
      </w:tr>
      <w:tr>
        <w:tc>
          <w:tcPr>
            <w:tcW w:type="dxa" w:w="2160"/>
          </w:tcPr>
          <w:p>
            <w:r>
              <w:t>4e-4</w:t>
            </w:r>
          </w:p>
        </w:tc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0.0936</w:t>
            </w:r>
          </w:p>
        </w:tc>
      </w:tr>
      <w:tr>
        <w:tc>
          <w:tcPr>
            <w:tcW w:type="dxa" w:w="2160"/>
          </w:tcPr>
          <w:p>
            <w:r>
              <w:t>4e-4</w:t>
            </w:r>
          </w:p>
        </w:tc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0.0940</w:t>
            </w:r>
          </w:p>
        </w:tc>
      </w:tr>
      <w:tr>
        <w:tc>
          <w:tcPr>
            <w:tcW w:type="dxa" w:w="2160"/>
          </w:tcPr>
          <w:p>
            <w:r>
              <w:t>4e-4</w:t>
            </w:r>
          </w:p>
        </w:tc>
        <w:tc>
          <w:tcPr>
            <w:tcW w:type="dxa" w:w="2160"/>
          </w:tcPr>
          <w:p>
            <w:r>
              <w:t>2e-4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0.0791</w:t>
            </w:r>
          </w:p>
        </w:tc>
      </w:tr>
    </w:tbl>
    <w:p>
      <w:pPr>
        <w:pStyle w:val="Heading2"/>
      </w:pPr>
      <w:r>
        <w:t>5.2 cGAN phase-2 (50 epochs, best phase-1 config)</w:t>
      </w:r>
    </w:p>
    <w:p>
      <w:r>
        <w:rPr>
          <w:b w:val="0"/>
          <w:sz w:val="22"/>
        </w:rPr>
        <w:t>Best validation L1 ≈ 0.0700; final epoch 50 val L1 ≈ 0.0826.</w:t>
      </w:r>
    </w:p>
    <w:p>
      <w:pPr>
        <w:pStyle w:val="Heading2"/>
      </w:pPr>
      <w:r>
        <w:t>5.3 ControlNet softedge (10 epochs, 8k images)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Epoch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train 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 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sample PSNR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sample SSIM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0.1369</w:t>
            </w:r>
          </w:p>
        </w:tc>
        <w:tc>
          <w:tcPr>
            <w:tcW w:type="dxa" w:w="1728"/>
          </w:tcPr>
          <w:p>
            <w:r>
              <w:t>0.1263</w:t>
            </w:r>
          </w:p>
        </w:tc>
        <w:tc>
          <w:tcPr>
            <w:tcW w:type="dxa" w:w="1728"/>
          </w:tcPr>
          <w:p>
            <w:r>
              <w:t>25.24</w:t>
            </w:r>
          </w:p>
        </w:tc>
        <w:tc>
          <w:tcPr>
            <w:tcW w:type="dxa" w:w="1728"/>
          </w:tcPr>
          <w:p>
            <w:r>
              <w:t>0.966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0.1361</w:t>
            </w:r>
          </w:p>
        </w:tc>
        <w:tc>
          <w:tcPr>
            <w:tcW w:type="dxa" w:w="1728"/>
          </w:tcPr>
          <w:p>
            <w:r>
              <w:t>0.1361</w:t>
            </w:r>
          </w:p>
        </w:tc>
        <w:tc>
          <w:tcPr>
            <w:tcW w:type="dxa" w:w="1728"/>
          </w:tcPr>
          <w:p>
            <w:r>
              <w:t>22.41</w:t>
            </w:r>
          </w:p>
        </w:tc>
        <w:tc>
          <w:tcPr>
            <w:tcW w:type="dxa" w:w="1728"/>
          </w:tcPr>
          <w:p>
            <w:r>
              <w:t>0.959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0.1354</w:t>
            </w:r>
          </w:p>
        </w:tc>
        <w:tc>
          <w:tcPr>
            <w:tcW w:type="dxa" w:w="1728"/>
          </w:tcPr>
          <w:p>
            <w:r>
              <w:t>0.1302</w:t>
            </w:r>
          </w:p>
        </w:tc>
        <w:tc>
          <w:tcPr>
            <w:tcW w:type="dxa" w:w="1728"/>
          </w:tcPr>
          <w:p>
            <w:r>
              <w:t>25.97</w:t>
            </w:r>
          </w:p>
        </w:tc>
        <w:tc>
          <w:tcPr>
            <w:tcW w:type="dxa" w:w="1728"/>
          </w:tcPr>
          <w:p>
            <w:r>
              <w:t>0.964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0.1341</w:t>
            </w:r>
          </w:p>
        </w:tc>
        <w:tc>
          <w:tcPr>
            <w:tcW w:type="dxa" w:w="1728"/>
          </w:tcPr>
          <w:p>
            <w:r>
              <w:t>0.1396</w:t>
            </w:r>
          </w:p>
        </w:tc>
        <w:tc>
          <w:tcPr>
            <w:tcW w:type="dxa" w:w="1728"/>
          </w:tcPr>
          <w:p>
            <w:r>
              <w:t>26.07</w:t>
            </w:r>
          </w:p>
        </w:tc>
        <w:tc>
          <w:tcPr>
            <w:tcW w:type="dxa" w:w="1728"/>
          </w:tcPr>
          <w:p>
            <w:r>
              <w:t>0.970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0.1324</w:t>
            </w:r>
          </w:p>
        </w:tc>
        <w:tc>
          <w:tcPr>
            <w:tcW w:type="dxa" w:w="1728"/>
          </w:tcPr>
          <w:p>
            <w:r>
              <w:t>0.1350</w:t>
            </w:r>
          </w:p>
        </w:tc>
        <w:tc>
          <w:tcPr>
            <w:tcW w:type="dxa" w:w="1728"/>
          </w:tcPr>
          <w:p>
            <w:r>
              <w:t>22.49</w:t>
            </w:r>
          </w:p>
        </w:tc>
        <w:tc>
          <w:tcPr>
            <w:tcW w:type="dxa" w:w="1728"/>
          </w:tcPr>
          <w:p>
            <w:r>
              <w:t>0.950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0.1315</w:t>
            </w:r>
          </w:p>
        </w:tc>
        <w:tc>
          <w:tcPr>
            <w:tcW w:type="dxa" w:w="1728"/>
          </w:tcPr>
          <w:p>
            <w:r>
              <w:t>0.1398</w:t>
            </w:r>
          </w:p>
        </w:tc>
        <w:tc>
          <w:tcPr>
            <w:tcW w:type="dxa" w:w="1728"/>
          </w:tcPr>
          <w:p>
            <w:r>
              <w:t>26.80</w:t>
            </w:r>
          </w:p>
        </w:tc>
        <w:tc>
          <w:tcPr>
            <w:tcW w:type="dxa" w:w="1728"/>
          </w:tcPr>
          <w:p>
            <w:r>
              <w:t>0.970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0.1332</w:t>
            </w:r>
          </w:p>
        </w:tc>
        <w:tc>
          <w:tcPr>
            <w:tcW w:type="dxa" w:w="1728"/>
          </w:tcPr>
          <w:p>
            <w:r>
              <w:t>0.1271</w:t>
            </w:r>
          </w:p>
        </w:tc>
        <w:tc>
          <w:tcPr>
            <w:tcW w:type="dxa" w:w="1728"/>
          </w:tcPr>
          <w:p>
            <w:r>
              <w:t>26.33</w:t>
            </w:r>
          </w:p>
        </w:tc>
        <w:tc>
          <w:tcPr>
            <w:tcW w:type="dxa" w:w="1728"/>
          </w:tcPr>
          <w:p>
            <w:r>
              <w:t>0.970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0.1344</w:t>
            </w:r>
          </w:p>
        </w:tc>
        <w:tc>
          <w:tcPr>
            <w:tcW w:type="dxa" w:w="1728"/>
          </w:tcPr>
          <w:p>
            <w:r>
              <w:t>0.1234</w:t>
            </w:r>
          </w:p>
        </w:tc>
        <w:tc>
          <w:tcPr>
            <w:tcW w:type="dxa" w:w="1728"/>
          </w:tcPr>
          <w:p>
            <w:r>
              <w:t>26.58</w:t>
            </w:r>
          </w:p>
        </w:tc>
        <w:tc>
          <w:tcPr>
            <w:tcW w:type="dxa" w:w="1728"/>
          </w:tcPr>
          <w:p>
            <w:r>
              <w:t>0.963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0.1320</w:t>
            </w:r>
          </w:p>
        </w:tc>
        <w:tc>
          <w:tcPr>
            <w:tcW w:type="dxa" w:w="1728"/>
          </w:tcPr>
          <w:p>
            <w:r>
              <w:t>0.1441</w:t>
            </w:r>
          </w:p>
        </w:tc>
        <w:tc>
          <w:tcPr>
            <w:tcW w:type="dxa" w:w="1728"/>
          </w:tcPr>
          <w:p>
            <w:r>
              <w:t>21.93</w:t>
            </w:r>
          </w:p>
        </w:tc>
        <w:tc>
          <w:tcPr>
            <w:tcW w:type="dxa" w:w="1728"/>
          </w:tcPr>
          <w:p>
            <w:r>
              <w:t>0.949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0.1337</w:t>
            </w:r>
          </w:p>
        </w:tc>
        <w:tc>
          <w:tcPr>
            <w:tcW w:type="dxa" w:w="1728"/>
          </w:tcPr>
          <w:p>
            <w:r>
              <w:t>0.1290</w:t>
            </w:r>
          </w:p>
        </w:tc>
        <w:tc>
          <w:tcPr>
            <w:tcW w:type="dxa" w:w="1728"/>
          </w:tcPr>
          <w:p>
            <w:r>
              <w:t>25.29</w:t>
            </w:r>
          </w:p>
        </w:tc>
        <w:tc>
          <w:tcPr>
            <w:tcW w:type="dxa" w:w="1728"/>
          </w:tcPr>
          <w:p>
            <w:r>
              <w:t>0.970</w:t>
            </w:r>
          </w:p>
        </w:tc>
      </w:tr>
    </w:tbl>
    <w:p>
      <w:r>
        <w:rPr>
          <w:b w:val="0"/>
          <w:sz w:val="22"/>
        </w:rPr>
        <w:t>Best val MSE at epoch 8 (0.1234). Best sample PSNR epoch 6; best SSIM epoch 7.</w:t>
      </w:r>
    </w:p>
    <w:p>
      <w:pPr>
        <w:pStyle w:val="Heading2"/>
      </w:pPr>
      <w:r>
        <w:t>5.4 CNN baseline</w:t>
      </w:r>
    </w:p>
    <w:p>
      <w:r>
        <w:rPr>
          <w:b w:val="0"/>
          <w:sz w:val="22"/>
        </w:rPr>
        <w:t>Per-epoch CSV for the 30-epoch CNN run was not retained in-repo; behaviour matches high-λ_L1 cGAN (L1-dominated): validation L1 on ab in the ~0.07–0.08 range with desaturated qualitative output.</w:t>
      </w:r>
    </w:p>
    <w:p>
      <w:pPr>
        <w:pStyle w:val="Heading1"/>
      </w:pPr>
      <w:r>
        <w:t>6. Further experiments</w:t>
      </w:r>
    </w:p>
    <w:p>
      <w:pPr>
        <w:pStyle w:val="Heading2"/>
      </w:pPr>
      <w:r>
        <w:t>6.1 Robustness / OOD (structural conditioning ablation)</w:t>
      </w:r>
    </w:p>
    <w:p>
      <w:r>
        <w:rPr>
          <w:b w:val="0"/>
          <w:sz w:val="22"/>
        </w:rPr>
        <w:t>Compared: (i) ControlNet from_unet + grayscale cond—regenerates scenes; (ii) Canny + pretrained canny head—noisy boundaries; (iii) HED softedge + pretrained softedge head—best trade-off. See Appendix A, Figure D.</w:t>
      </w:r>
    </w:p>
    <w:p>
      <w:pPr>
        <w:pStyle w:val="Heading2"/>
      </w:pPr>
      <w:r>
        <w:t>6.2 Error analysis</w:t>
      </w:r>
    </w:p>
    <w:p>
      <w:r>
        <w:rPr>
          <w:b w:val="0"/>
          <w:sz w:val="22"/>
        </w:rPr>
        <w:t>Common failures: wrong plausible object colours (ill-posedness); skin-tone drift on tiny faces; chroma errors on specular highlights; per-epoch PSNR jitter because the scored validation mini-batch is fixed but small. Representative grids: Appendix A.</w:t>
      </w:r>
    </w:p>
    <w:p>
      <w:pPr>
        <w:pStyle w:val="Heading2"/>
      </w:pPr>
      <w:r>
        <w:t>6.3 Inference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Forward passes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Latency (order)</w:t>
            </w:r>
          </w:p>
        </w:tc>
      </w:tr>
      <w:tr>
        <w:tc>
          <w:tcPr>
            <w:tcW w:type="dxa" w:w="2160"/>
          </w:tcPr>
          <w:p>
            <w:r>
              <w:t>CNN</w:t>
            </w:r>
          </w:p>
        </w:tc>
        <w:tc>
          <w:tcPr>
            <w:tcW w:type="dxa" w:w="2160"/>
          </w:tcPr>
          <w:p>
            <w:r>
              <w:t>128²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&lt;2 ms</w:t>
            </w:r>
          </w:p>
        </w:tc>
      </w:tr>
      <w:tr>
        <w:tc>
          <w:tcPr>
            <w:tcW w:type="dxa" w:w="2160"/>
          </w:tcPr>
          <w:p>
            <w:r>
              <w:t>cGAN generator</w:t>
            </w:r>
          </w:p>
        </w:tc>
        <w:tc>
          <w:tcPr>
            <w:tcW w:type="dxa" w:w="2160"/>
          </w:tcPr>
          <w:p>
            <w:r>
              <w:t>128²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&lt;2 ms</w:t>
            </w:r>
          </w:p>
        </w:tc>
      </w:tr>
      <w:tr>
        <w:tc>
          <w:tcPr>
            <w:tcW w:type="dxa" w:w="2160"/>
          </w:tcPr>
          <w:p>
            <w:r>
              <w:t>ControlNet + UniPC</w:t>
            </w:r>
          </w:p>
        </w:tc>
        <w:tc>
          <w:tcPr>
            <w:tcW w:type="dxa" w:w="2160"/>
          </w:tcPr>
          <w:p>
            <w:r>
              <w:t>384²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~1.5–2.5 s</w:t>
            </w:r>
          </w:p>
        </w:tc>
      </w:tr>
    </w:tbl>
    <w:p>
      <w:pPr>
        <w:pStyle w:val="Heading1"/>
      </w:pPr>
      <w:r>
        <w:t>7. Conclusion</w:t>
      </w:r>
    </w:p>
    <w:p>
      <w:r>
        <w:rPr>
          <w:b w:val="0"/>
          <w:sz w:val="22"/>
        </w:rPr>
        <w:t>At small budgets, pretrained softedge ControlNet + luminance lock delivers the strongest colour and structure trade-off among the three methods, at ~1000× inference cost vs. regression. Pretrained init and strong edge conditioning are both necessary; raw grayscale from_unet fails.</w:t>
      </w:r>
    </w:p>
    <w:p>
      <w:r>
        <w:br w:type="page"/>
      </w:r>
    </w:p>
    <w:p>
      <w:pPr>
        <w:pStyle w:val="Heading1"/>
      </w:pPr>
      <w:r>
        <w:t>Appendix A — Qualitative comparison figures</w:t>
      </w:r>
    </w:p>
    <w:p>
      <w:r>
        <w:rPr>
          <w:b w:val="0"/>
          <w:sz w:val="22"/>
        </w:rPr>
        <w:t>Each image is a save_image grid. CNN/cGAN rows: grayscale | prediction | ground truth. ControlNet rows: HED softedge | prediction (luminance-locked) | ground truth. The last figure is an ablation (from_unet + grayscale at 128²).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71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epoch_0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7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A.1 — CNN baseline (epoch 50, 128²).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71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epoch_0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7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A.2 — cGAN phase-2 best (epoch 50, 128²).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3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epoch_0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A.3 — ControlNet softedge (epoch 10, 384²).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711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epoch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7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A.4 — Ablation: from_unet + grayscale (epoch 4, 128²).</w:t>
      </w:r>
    </w:p>
    <w:p/>
    <w:p>
      <w:pPr>
        <w:pStyle w:val="Heading1"/>
      </w:pPr>
      <w:r>
        <w:t>Appendix B — Reproducibility</w:t>
      </w:r>
    </w:p>
    <w:p>
      <w:r>
        <w:rPr>
          <w:b w:val="0"/>
          <w:sz w:val="22"/>
        </w:rPr>
        <w:t>See README.md and requirements-controlnet.txt in the repository. LaTeX source: report.tex. Regenerate this Word file with: python build_report_docx.py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