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24D"/>
          <w:sz w:val="50"/>
        </w:rPr>
        <w:t>E-Safe</w:t>
      </w:r>
    </w:p>
    <w:p>
      <w:pPr>
        <w:jc w:val="center"/>
      </w:pPr>
      <w:r>
        <w:rPr>
          <w:rFonts w:ascii="Arial" w:hAnsi="Arial"/>
          <w:b/>
          <w:color w:val="0C7C86"/>
          <w:sz w:val="26"/>
        </w:rPr>
        <w:t>AI Safety Assistant for Informal E-Waste Workers</w:t>
      </w:r>
    </w:p>
    <w:p>
      <w:pPr>
        <w:spacing w:before="120"/>
        <w:jc w:val="center"/>
      </w:pPr>
      <w:r>
        <w:rPr>
          <w:rFonts w:ascii="Arial" w:hAnsi="Arial"/>
          <w:i/>
          <w:color w:val="52606D"/>
          <w:sz w:val="22"/>
        </w:rPr>
        <w:t>A worker-centred, risk-calibrated system that decides when an electronic item must not be manually opened.</w:t>
      </w:r>
    </w:p>
    <w:p>
      <w:pPr>
        <w:jc w:val="center"/>
      </w:pPr>
      <w:r>
        <w:drawing>
          <wp:inline xmlns:a="http://schemas.openxmlformats.org/drawingml/2006/main" xmlns:pic="http://schemas.openxmlformats.org/drawingml/2006/picture">
            <wp:extent cx="6035040" cy="1441704"/>
            <wp:docPr id="1" name="Picture 1"/>
            <wp:cNvGraphicFramePr>
              <a:graphicFrameLocks noChangeAspect="1"/>
            </wp:cNvGraphicFramePr>
            <a:graphic>
              <a:graphicData uri="http://schemas.openxmlformats.org/drawingml/2006/picture">
                <pic:pic>
                  <pic:nvPicPr>
                    <pic:cNvPr id="0" name="esafe_flow.png"/>
                    <pic:cNvPicPr/>
                  </pic:nvPicPr>
                  <pic:blipFill>
                    <a:blip r:embed="rId11"/>
                    <a:stretch>
                      <a:fillRect/>
                    </a:stretch>
                  </pic:blipFill>
                  <pic:spPr>
                    <a:xfrm>
                      <a:off x="0" y="0"/>
                      <a:ext cx="6035040" cy="1441704"/>
                    </a:xfrm>
                    <a:prstGeom prst="rect"/>
                  </pic:spPr>
                </pic:pic>
              </a:graphicData>
            </a:graphic>
          </wp:inline>
        </w:drawing>
      </w:r>
    </w:p>
    <w:tbl>
      <w:tblPr>
        <w:tblW w:type="auto" w:w="0"/>
        <w:jc w:val="center"/>
        <w:tblLayout w:type="fixed"/>
        <w:tblLook w:firstColumn="1" w:firstRow="1" w:lastColumn="0" w:lastRow="0" w:noHBand="0" w:noVBand="1" w:val="04A0"/>
      </w:tblPr>
      <w:tblGrid>
        <w:gridCol w:w="9922"/>
      </w:tblGrid>
      <w:tr>
        <w:tc>
          <w:tcPr>
            <w:tcW w:type="dxa" w:w="9216"/>
            <w:shd w:fill="EAF6F7"/>
            <w:tcMar>
              <w:top w:w="170" w:type="dxa"/>
              <w:start w:w="200" w:type="dxa"/>
              <w:bottom w:w="170" w:type="dxa"/>
              <w:end w:w="200" w:type="dxa"/>
            </w:tcMar>
          </w:tcPr>
          <w:p>
            <w:pPr>
              <w:pStyle w:val="Callout"/>
              <w:jc w:val="left"/>
            </w:pPr>
            <w:r>
              <w:rPr>
                <w:b/>
              </w:rPr>
              <w:t xml:space="preserve">Research verdict: </w:t>
            </w:r>
            <w:r>
              <w:rPr>
                <w:b w:val="0"/>
              </w:rPr>
              <w:t>Strong candidate only when framed as safety triage and escalation. A basic e-waste image classifier plus chatbot would not be sufficiently novel.</w:t>
            </w:r>
          </w:p>
        </w:tc>
      </w:tr>
    </w:tbl>
    <w:p>
      <w:pPr>
        <w:spacing w:before="300"/>
        <w:jc w:val="center"/>
      </w:pPr>
      <w:r>
        <w:rPr>
          <w:rFonts w:ascii="Arial" w:hAnsi="Arial"/>
          <w:color w:val="52606D"/>
          <w:sz w:val="19"/>
        </w:rPr>
        <w:t>Research status: 4 August 2026</w:t>
      </w:r>
    </w:p>
    <w:p>
      <w:pPr>
        <w:jc w:val="center"/>
      </w:pPr>
      <w:r>
        <w:rPr>
          <w:rFonts w:ascii="Arial" w:hAnsi="Arial"/>
          <w:color w:val="52606D"/>
          <w:sz w:val="19"/>
        </w:rPr>
        <w:t>Prepared as a six-month EDI/MP research project proposal</w:t>
      </w:r>
    </w:p>
    <w:p>
      <w:r>
        <w:br w:type="page"/>
      </w:r>
    </w:p>
    <w:p>
      <w:pPr>
        <w:pStyle w:val="Heading1"/>
      </w:pPr>
      <w:r>
        <w:t>1. One-minute project summary</w:t>
      </w:r>
    </w:p>
    <w:p>
      <w:r>
        <w:t>Informal e-waste workers often receive unknown phones, batteries, chargers, circuit boards and appliances. The item may contain a swollen lithium battery, charged capacitor, mercury-containing lamp, sharp metal, toxic material or another hazard. Generic training tells workers that e-waste is dangerous, but it does not help them make an item-specific decision at the exact moment before handling or opening it. WHO identifies manual dismantling, open burning and poor protection as important exposure pathways, while the Global E-waste Monitor reports that documented recycling is growing far more slowly than e-waste generation [1][2].</w:t>
      </w:r>
    </w:p>
    <w:p>
      <w:r>
        <w:t>E-Safe is a mobile-first decision-support platform. The worker photographs an item, answers a few simple questions about heat, smell, leakage, damage and available protective equipment, and receives a conservative action: safe to collect without opening, isolate and seek trained supervision, or do not manually handle and route to an authorised recycler. The system combines a lightweight vision model, a trained risk model, calibrated uncertainty, verified safety knowledge and regional-language voice guidance. Its main purpose is not to teach extraction of valuable material; it is to prevent dangerous manual handling and connect informal workers to safer formal pathways.</w:t>
      </w:r>
    </w:p>
    <w:tbl>
      <w:tblPr>
        <w:tblW w:type="auto" w:w="0"/>
        <w:jc w:val="center"/>
        <w:tblLayout w:type="autofit"/>
        <w:tblLook w:firstColumn="1" w:firstRow="1" w:lastColumn="0" w:lastRow="0" w:noHBand="0" w:noVBand="1" w:val="04A0"/>
      </w:tblPr>
      <w:tblGrid>
        <w:gridCol w:w="9922"/>
      </w:tblGrid>
      <w:tr>
        <w:trPr>
          <w:cantSplit/>
        </w:trPr>
        <w:tc>
          <w:tcPr>
            <w:tcW w:type="dxa" w:w="9922"/>
            <w:shd w:fill="EAF6F7"/>
            <w:tcMar>
              <w:top w:w="140" w:type="dxa"/>
              <w:start w:w="170" w:type="dxa"/>
              <w:bottom w:w="140" w:type="dxa"/>
              <w:end w:w="170" w:type="dxa"/>
            </w:tcMar>
          </w:tcPr>
          <w:p>
            <w:pPr>
              <w:keepLines/>
            </w:pPr>
            <w:r>
              <w:rPr>
                <w:b/>
              </w:rPr>
              <w:t xml:space="preserve">Exact problem statement: </w:t>
            </w:r>
            <w:r>
              <w:t>Informal e-waste workers lack real-time, item-specific and understandable safety triage before manual handling. Existing tools mainly classify waste, automate sorting, provide static training or help consumers locate recyclers. The proposed research asks whether a low-cost multimodal AI system can convert a field photograph plus worker context into a reliable, uncertainty-aware “handle / isolate / escalate” decision without giving unsafe dismantling instructions.</w:t>
            </w:r>
          </w:p>
        </w:tc>
      </w:tr>
    </w:tbl>
    <w:p>
      <w:pPr>
        <w:spacing w:after="0"/>
      </w:pPr>
    </w:p>
    <w:p>
      <w:pPr>
        <w:pStyle w:val="Heading1"/>
      </w:pPr>
      <w:r>
        <w:t>2. Why this is a real problem</w:t>
      </w:r>
    </w:p>
    <w:p>
      <w:pPr>
        <w:pStyle w:val="ListBullet"/>
        <w:spacing w:after="40"/>
      </w:pPr>
      <w:r>
        <w:rPr>
          <w:b/>
        </w:rPr>
        <w:t xml:space="preserve">Health and injury risk. </w:t>
      </w:r>
      <w:r>
        <w:t>Informal handling can expose workers to lead, mercury, toxic fumes, cuts, electrical shock and battery-fire risk. Reviews report direct health impacts among informal e-waste workers [1][8][9].</w:t>
      </w:r>
    </w:p>
    <w:p>
      <w:pPr>
        <w:pStyle w:val="ListBullet"/>
        <w:spacing w:after="40"/>
      </w:pPr>
      <w:r>
        <w:rPr>
          <w:b/>
        </w:rPr>
        <w:t xml:space="preserve">The worker receives mixed and unknown items. </w:t>
      </w:r>
      <w:r>
        <w:t>A person may know that e-waste is hazardous but may not know which visible sign changes the immediate action.</w:t>
      </w:r>
    </w:p>
    <w:p>
      <w:pPr>
        <w:pStyle w:val="ListBullet"/>
        <w:spacing w:after="40"/>
      </w:pPr>
      <w:r>
        <w:rPr>
          <w:b/>
        </w:rPr>
        <w:t xml:space="preserve">Formal systems and informal livelihoods are disconnected. </w:t>
      </w:r>
      <w:r>
        <w:t>India’s E-Waste (Management) Rules create a registered producer/refurbisher/recycler framework, while policy work continues to recommend training and integration of informal workers [4][5][7].</w:t>
      </w:r>
    </w:p>
    <w:p>
      <w:pPr>
        <w:pStyle w:val="ListBullet"/>
        <w:spacing w:after="40"/>
      </w:pPr>
      <w:r>
        <w:rPr>
          <w:b/>
        </w:rPr>
        <w:t xml:space="preserve">The local pilot is realistic. </w:t>
      </w:r>
      <w:r>
        <w:t>Pune Municipal Corporation already promotes authorised e-waste collection, and Maharashtra publishes authorised facility information that can support a location-based pilot [13][14].</w:t>
      </w:r>
    </w:p>
    <w:p>
      <w:pPr>
        <w:pStyle w:val="Heading1"/>
      </w:pPr>
      <w:r>
        <w:t>3. Exact target user and scope</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32"/>
            <w:shd w:fill="17324D"/>
            <w:tcMar>
              <w:top w:w="90" w:type="dxa"/>
              <w:start w:w="100" w:type="dxa"/>
              <w:bottom w:w="90" w:type="dxa"/>
              <w:end w:w="100" w:type="dxa"/>
            </w:tcMar>
          </w:tcPr>
          <w:p>
            <w:pPr>
              <w:jc w:val="center"/>
            </w:pPr>
            <w:r>
              <w:rPr>
                <w:b/>
                <w:color w:val="FFFFFF"/>
                <w:sz w:val="18"/>
              </w:rPr>
              <w:t>Decision</w:t>
            </w:r>
          </w:p>
        </w:tc>
        <w:tc>
          <w:tcPr>
            <w:tcW w:type="dxa" w:w="7272"/>
            <w:shd w:fill="17324D"/>
            <w:tcMar>
              <w:top w:w="90" w:type="dxa"/>
              <w:start w:w="100" w:type="dxa"/>
              <w:bottom w:w="90" w:type="dxa"/>
              <w:end w:w="100" w:type="dxa"/>
            </w:tcMar>
          </w:tcPr>
          <w:p>
            <w:pPr>
              <w:jc w:val="center"/>
            </w:pPr>
            <w:r>
              <w:rPr>
                <w:b/>
                <w:color w:val="FFFFFF"/>
                <w:sz w:val="18"/>
              </w:rPr>
              <w:t>Recommended scope</w:t>
            </w:r>
          </w:p>
        </w:tc>
      </w:tr>
      <w:tr>
        <w:trPr>
          <w:cantSplit/>
        </w:trPr>
        <w:tc>
          <w:tcPr>
            <w:tcW w:type="dxa" w:w="2232"/>
            <w:vAlign w:val="top"/>
            <w:tcMar>
              <w:top w:w="80" w:type="dxa"/>
              <w:start w:w="95" w:type="dxa"/>
              <w:bottom w:w="80" w:type="dxa"/>
              <w:end w:w="95" w:type="dxa"/>
            </w:tcMar>
          </w:tcPr>
          <w:p>
            <w:pPr>
              <w:spacing w:after="0"/>
            </w:pPr>
            <w:r>
              <w:rPr>
                <w:sz w:val="18"/>
              </w:rPr>
              <w:t>Primary user</w:t>
            </w:r>
          </w:p>
        </w:tc>
        <w:tc>
          <w:tcPr>
            <w:tcW w:type="dxa" w:w="7272"/>
            <w:vAlign w:val="top"/>
            <w:tcMar>
              <w:top w:w="80" w:type="dxa"/>
              <w:start w:w="95" w:type="dxa"/>
              <w:bottom w:w="80" w:type="dxa"/>
              <w:end w:w="95" w:type="dxa"/>
            </w:tcMar>
          </w:tcPr>
          <w:p>
            <w:pPr>
              <w:spacing w:after="0"/>
            </w:pPr>
            <w:r>
              <w:rPr>
                <w:sz w:val="18"/>
              </w:rPr>
              <w:t>Adult informal collectors, scrap sorters and small aggregators who encounter e-waste before it reaches a formal recycler.</w:t>
            </w:r>
          </w:p>
        </w:tc>
      </w:tr>
      <w:tr>
        <w:trPr>
          <w:cantSplit/>
        </w:trPr>
        <w:tc>
          <w:tcPr>
            <w:tcW w:type="dxa" w:w="2232"/>
            <w:vAlign w:val="top"/>
            <w:tcMar>
              <w:top w:w="80" w:type="dxa"/>
              <w:start w:w="95" w:type="dxa"/>
              <w:bottom w:w="80" w:type="dxa"/>
              <w:end w:w="95" w:type="dxa"/>
            </w:tcMar>
            <w:shd w:fill="F4F6F8"/>
          </w:tcPr>
          <w:p>
            <w:pPr>
              <w:spacing w:after="0"/>
            </w:pPr>
            <w:r>
              <w:rPr>
                <w:sz w:val="18"/>
              </w:rPr>
              <w:t>Pilot geography</w:t>
            </w:r>
          </w:p>
        </w:tc>
        <w:tc>
          <w:tcPr>
            <w:tcW w:type="dxa" w:w="7272"/>
            <w:vAlign w:val="top"/>
            <w:tcMar>
              <w:top w:w="80" w:type="dxa"/>
              <w:start w:w="95" w:type="dxa"/>
              <w:bottom w:w="80" w:type="dxa"/>
              <w:end w:w="95" w:type="dxa"/>
            </w:tcMar>
            <w:shd w:fill="F4F6F8"/>
          </w:tcPr>
          <w:p>
            <w:pPr>
              <w:spacing w:after="0"/>
            </w:pPr>
            <w:r>
              <w:rPr>
                <w:sz w:val="18"/>
              </w:rPr>
              <w:t>Pune / Pimpri-Chinchwad, because authorised facilities, collection initiatives and local field partners are identifiable.</w:t>
            </w:r>
          </w:p>
        </w:tc>
      </w:tr>
      <w:tr>
        <w:trPr>
          <w:cantSplit/>
        </w:trPr>
        <w:tc>
          <w:tcPr>
            <w:tcW w:type="dxa" w:w="2232"/>
            <w:vAlign w:val="top"/>
            <w:tcMar>
              <w:top w:w="80" w:type="dxa"/>
              <w:start w:w="95" w:type="dxa"/>
              <w:bottom w:w="80" w:type="dxa"/>
              <w:end w:w="95" w:type="dxa"/>
            </w:tcMar>
          </w:tcPr>
          <w:p>
            <w:pPr>
              <w:spacing w:after="0"/>
            </w:pPr>
            <w:r>
              <w:rPr>
                <w:sz w:val="18"/>
              </w:rPr>
              <w:t>Six-month item scope</w:t>
            </w:r>
          </w:p>
        </w:tc>
        <w:tc>
          <w:tcPr>
            <w:tcW w:type="dxa" w:w="7272"/>
            <w:vAlign w:val="top"/>
            <w:tcMar>
              <w:top w:w="80" w:type="dxa"/>
              <w:start w:w="95" w:type="dxa"/>
              <w:bottom w:w="80" w:type="dxa"/>
              <w:end w:w="95" w:type="dxa"/>
            </w:tcMar>
          </w:tcPr>
          <w:p>
            <w:pPr>
              <w:spacing w:after="0"/>
            </w:pPr>
            <w:r>
              <w:rPr>
                <w:sz w:val="18"/>
              </w:rPr>
              <w:t>Portable battery-containing electronics and small electronic components: phones, laptops, power banks, loose batteries, chargers/adapters, small PCBs and selected lamps.</w:t>
            </w:r>
          </w:p>
        </w:tc>
      </w:tr>
      <w:tr>
        <w:trPr>
          <w:cantSplit/>
        </w:trPr>
        <w:tc>
          <w:tcPr>
            <w:tcW w:type="dxa" w:w="2232"/>
            <w:vAlign w:val="top"/>
            <w:tcMar>
              <w:top w:w="80" w:type="dxa"/>
              <w:start w:w="95" w:type="dxa"/>
              <w:bottom w:w="80" w:type="dxa"/>
              <w:end w:w="95" w:type="dxa"/>
            </w:tcMar>
            <w:shd w:fill="F4F6F8"/>
          </w:tcPr>
          <w:p>
            <w:pPr>
              <w:spacing w:after="0"/>
            </w:pPr>
            <w:r>
              <w:rPr>
                <w:sz w:val="18"/>
              </w:rPr>
              <w:t>Output classes</w:t>
            </w:r>
          </w:p>
        </w:tc>
        <w:tc>
          <w:tcPr>
            <w:tcW w:type="dxa" w:w="7272"/>
            <w:vAlign w:val="top"/>
            <w:tcMar>
              <w:top w:w="80" w:type="dxa"/>
              <w:start w:w="95" w:type="dxa"/>
              <w:bottom w:w="80" w:type="dxa"/>
              <w:end w:w="95" w:type="dxa"/>
            </w:tcMar>
            <w:shd w:fill="F4F6F8"/>
          </w:tcPr>
          <w:p>
            <w:pPr>
              <w:spacing w:after="0"/>
            </w:pPr>
            <w:r>
              <w:rPr>
                <w:sz w:val="18"/>
              </w:rPr>
              <w:t>GREEN: collect/store without opening; AMBER: isolate and seek trained handling; RED: do not manually open or continue handling—route or escalate.</w:t>
            </w:r>
          </w:p>
        </w:tc>
      </w:tr>
      <w:tr>
        <w:trPr>
          <w:cantSplit/>
        </w:trPr>
        <w:tc>
          <w:tcPr>
            <w:tcW w:type="dxa" w:w="2232"/>
            <w:vAlign w:val="top"/>
            <w:tcMar>
              <w:top w:w="80" w:type="dxa"/>
              <w:start w:w="95" w:type="dxa"/>
              <w:bottom w:w="80" w:type="dxa"/>
              <w:end w:w="95" w:type="dxa"/>
            </w:tcMar>
          </w:tcPr>
          <w:p>
            <w:pPr>
              <w:spacing w:after="0"/>
            </w:pPr>
            <w:r>
              <w:rPr>
                <w:sz w:val="18"/>
              </w:rPr>
              <w:t>Languages</w:t>
            </w:r>
          </w:p>
        </w:tc>
        <w:tc>
          <w:tcPr>
            <w:tcW w:type="dxa" w:w="7272"/>
            <w:vAlign w:val="top"/>
            <w:tcMar>
              <w:top w:w="80" w:type="dxa"/>
              <w:start w:w="95" w:type="dxa"/>
              <w:bottom w:w="80" w:type="dxa"/>
              <w:end w:w="95" w:type="dxa"/>
            </w:tcMar>
          </w:tcPr>
          <w:p>
            <w:pPr>
              <w:spacing w:after="0"/>
            </w:pPr>
            <w:r>
              <w:rPr>
                <w:sz w:val="18"/>
              </w:rPr>
              <w:t>Marathi, Hindi and simple English; audio output should be available for low-literacy users.</w:t>
            </w:r>
          </w:p>
        </w:tc>
      </w:tr>
      <w:tr>
        <w:trPr>
          <w:cantSplit/>
        </w:trPr>
        <w:tc>
          <w:tcPr>
            <w:tcW w:type="dxa" w:w="2232"/>
            <w:vAlign w:val="top"/>
            <w:tcMar>
              <w:top w:w="80" w:type="dxa"/>
              <w:start w:w="95" w:type="dxa"/>
              <w:bottom w:w="80" w:type="dxa"/>
              <w:end w:w="95" w:type="dxa"/>
            </w:tcMar>
            <w:shd w:fill="F4F6F8"/>
          </w:tcPr>
          <w:p>
            <w:pPr>
              <w:spacing w:after="0"/>
            </w:pPr>
            <w:r>
              <w:rPr>
                <w:sz w:val="18"/>
              </w:rPr>
              <w:t>What is excluded</w:t>
            </w:r>
          </w:p>
        </w:tc>
        <w:tc>
          <w:tcPr>
            <w:tcW w:type="dxa" w:w="7272"/>
            <w:vAlign w:val="top"/>
            <w:tcMar>
              <w:top w:w="80" w:type="dxa"/>
              <w:start w:w="95" w:type="dxa"/>
              <w:bottom w:w="80" w:type="dxa"/>
              <w:end w:w="95" w:type="dxa"/>
            </w:tcMar>
            <w:shd w:fill="F4F6F8"/>
          </w:tcPr>
          <w:p>
            <w:pPr>
              <w:spacing w:after="0"/>
            </w:pPr>
            <w:r>
              <w:rPr>
                <w:sz w:val="18"/>
              </w:rPr>
              <w:t>Chemical extraction, metal recovery recipes, detailed dismantling procedures, industrial recycling automation, and medical diagnosis of worker exposure.</w:t>
            </w:r>
          </w:p>
        </w:tc>
      </w:tr>
    </w:tbl>
    <w:p>
      <w:pPr>
        <w:spacing w:after="0"/>
      </w:pPr>
    </w:p>
    <w:p>
      <w:pPr>
        <w:pStyle w:val="Heading1"/>
      </w:pPr>
      <w:r>
        <w:t>4. What already exists</w:t>
      </w:r>
    </w:p>
    <w:p>
      <w:r>
        <w:t>The broad e-waste technology field is already active. Therefore, the project cannot claim novelty merely because it uses AI, a camera or agents.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015"/>
            <w:shd w:fill="17324D"/>
            <w:tcMar>
              <w:top w:w="90" w:type="dxa"/>
              <w:start w:w="100" w:type="dxa"/>
              <w:bottom w:w="90" w:type="dxa"/>
              <w:end w:w="100" w:type="dxa"/>
            </w:tcMar>
          </w:tcPr>
          <w:p>
            <w:pPr>
              <w:jc w:val="center"/>
            </w:pPr>
            <w:r>
              <w:rPr>
                <w:b/>
                <w:color w:val="FFFFFF"/>
                <w:sz w:val="17"/>
              </w:rPr>
              <w:t>Existing category</w:t>
            </w:r>
          </w:p>
        </w:tc>
        <w:tc>
          <w:tcPr>
            <w:tcW w:type="dxa" w:w="3600"/>
            <w:shd w:fill="17324D"/>
            <w:tcMar>
              <w:top w:w="90" w:type="dxa"/>
              <w:start w:w="100" w:type="dxa"/>
              <w:bottom w:w="90" w:type="dxa"/>
              <w:end w:w="100" w:type="dxa"/>
            </w:tcMar>
          </w:tcPr>
          <w:p>
            <w:pPr>
              <w:jc w:val="center"/>
            </w:pPr>
            <w:r>
              <w:rPr>
                <w:b/>
                <w:color w:val="FFFFFF"/>
                <w:sz w:val="17"/>
              </w:rPr>
              <w:t>What it already does</w:t>
            </w:r>
          </w:p>
        </w:tc>
        <w:tc>
          <w:tcPr>
            <w:tcW w:type="dxa" w:w="3888"/>
            <w:shd w:fill="17324D"/>
            <w:tcMar>
              <w:top w:w="90" w:type="dxa"/>
              <w:start w:w="100" w:type="dxa"/>
              <w:bottom w:w="90" w:type="dxa"/>
              <w:end w:w="100" w:type="dxa"/>
            </w:tcMar>
          </w:tcPr>
          <w:p>
            <w:pPr>
              <w:jc w:val="center"/>
            </w:pPr>
            <w:r>
              <w:rPr>
                <w:b/>
                <w:color w:val="FFFFFF"/>
                <w:sz w:val="17"/>
              </w:rPr>
              <w:t>Remaining gap for E-Safe</w:t>
            </w:r>
          </w:p>
        </w:tc>
      </w:tr>
      <w:tr>
        <w:trPr>
          <w:cantSplit/>
        </w:trPr>
        <w:tc>
          <w:tcPr>
            <w:tcW w:type="dxa" w:w="2015"/>
            <w:vAlign w:val="top"/>
            <w:tcMar>
              <w:top w:w="80" w:type="dxa"/>
              <w:start w:w="95" w:type="dxa"/>
              <w:bottom w:w="80" w:type="dxa"/>
              <w:end w:w="95" w:type="dxa"/>
            </w:tcMar>
          </w:tcPr>
          <w:p>
            <w:pPr>
              <w:spacing w:after="0"/>
            </w:pPr>
            <w:r>
              <w:rPr>
                <w:sz w:val="17"/>
              </w:rPr>
              <w:t>AI waste/e-waste classifiers</w:t>
            </w:r>
          </w:p>
        </w:tc>
        <w:tc>
          <w:tcPr>
            <w:tcW w:type="dxa" w:w="3600"/>
            <w:vAlign w:val="top"/>
            <w:tcMar>
              <w:top w:w="80" w:type="dxa"/>
              <w:start w:w="95" w:type="dxa"/>
              <w:bottom w:w="80" w:type="dxa"/>
              <w:end w:w="95" w:type="dxa"/>
            </w:tcMar>
          </w:tcPr>
          <w:p>
            <w:pPr>
              <w:spacing w:after="0"/>
            </w:pPr>
            <w:r>
              <w:rPr>
                <w:sz w:val="17"/>
              </w:rPr>
              <w:t>Classify devices or components and support sorting. Recent work uses YOLO, CNNs and segmentation for e-waste categories and robotic segregation [10][11][12].</w:t>
            </w:r>
          </w:p>
        </w:tc>
        <w:tc>
          <w:tcPr>
            <w:tcW w:type="dxa" w:w="3888"/>
            <w:vAlign w:val="top"/>
            <w:tcMar>
              <w:top w:w="80" w:type="dxa"/>
              <w:start w:w="95" w:type="dxa"/>
              <w:bottom w:w="80" w:type="dxa"/>
              <w:end w:w="95" w:type="dxa"/>
            </w:tcMar>
          </w:tcPr>
          <w:p>
            <w:pPr>
              <w:spacing w:after="0"/>
            </w:pPr>
            <w:r>
              <w:rPr>
                <w:sz w:val="17"/>
              </w:rPr>
              <w:t>Category recognition does not answer whether this specific damaged item is safe to handle, isolate or escalate.</w:t>
            </w:r>
          </w:p>
        </w:tc>
      </w:tr>
      <w:tr>
        <w:trPr>
          <w:cantSplit/>
        </w:trPr>
        <w:tc>
          <w:tcPr>
            <w:tcW w:type="dxa" w:w="2015"/>
            <w:vAlign w:val="top"/>
            <w:tcMar>
              <w:top w:w="80" w:type="dxa"/>
              <w:start w:w="95" w:type="dxa"/>
              <w:bottom w:w="80" w:type="dxa"/>
              <w:end w:w="95" w:type="dxa"/>
            </w:tcMar>
            <w:shd w:fill="F4F6F8"/>
          </w:tcPr>
          <w:p>
            <w:pPr>
              <w:spacing w:after="0"/>
            </w:pPr>
            <w:r>
              <w:rPr>
                <w:sz w:val="17"/>
              </w:rPr>
              <w:t>Robotic/formal-facility sorting</w:t>
            </w:r>
          </w:p>
        </w:tc>
        <w:tc>
          <w:tcPr>
            <w:tcW w:type="dxa" w:w="3600"/>
            <w:vAlign w:val="top"/>
            <w:tcMar>
              <w:top w:w="80" w:type="dxa"/>
              <w:start w:w="95" w:type="dxa"/>
              <w:bottom w:w="80" w:type="dxa"/>
              <w:end w:w="95" w:type="dxa"/>
            </w:tcMar>
            <w:shd w:fill="F4F6F8"/>
          </w:tcPr>
          <w:p>
            <w:pPr>
              <w:spacing w:after="0"/>
            </w:pPr>
            <w:r>
              <w:rPr>
                <w:sz w:val="17"/>
              </w:rPr>
              <w:t>Detects batteries or components on controlled conveyor systems, sometimes with X-ray or robotics.</w:t>
            </w:r>
          </w:p>
        </w:tc>
        <w:tc>
          <w:tcPr>
            <w:tcW w:type="dxa" w:w="3888"/>
            <w:vAlign w:val="top"/>
            <w:tcMar>
              <w:top w:w="80" w:type="dxa"/>
              <w:start w:w="95" w:type="dxa"/>
              <w:bottom w:w="80" w:type="dxa"/>
              <w:end w:w="95" w:type="dxa"/>
            </w:tcMar>
            <w:shd w:fill="F4F6F8"/>
          </w:tcPr>
          <w:p>
            <w:pPr>
              <w:spacing w:after="0"/>
            </w:pPr>
            <w:r>
              <w:rPr>
                <w:sz w:val="17"/>
              </w:rPr>
              <w:t>Requires expensive infrastructure and does not help a worker using a normal phone in a crowded field setting.</w:t>
            </w:r>
          </w:p>
        </w:tc>
      </w:tr>
      <w:tr>
        <w:trPr>
          <w:cantSplit/>
        </w:trPr>
        <w:tc>
          <w:tcPr>
            <w:tcW w:type="dxa" w:w="2015"/>
            <w:vAlign w:val="top"/>
            <w:tcMar>
              <w:top w:w="80" w:type="dxa"/>
              <w:start w:w="95" w:type="dxa"/>
              <w:bottom w:w="80" w:type="dxa"/>
              <w:end w:w="95" w:type="dxa"/>
            </w:tcMar>
          </w:tcPr>
          <w:p>
            <w:pPr>
              <w:spacing w:after="0"/>
            </w:pPr>
            <w:r>
              <w:rPr>
                <w:sz w:val="17"/>
              </w:rPr>
              <w:t>Collection and recycler locators</w:t>
            </w:r>
          </w:p>
        </w:tc>
        <w:tc>
          <w:tcPr>
            <w:tcW w:type="dxa" w:w="3600"/>
            <w:vAlign w:val="top"/>
            <w:tcMar>
              <w:top w:w="80" w:type="dxa"/>
              <w:start w:w="95" w:type="dxa"/>
              <w:bottom w:w="80" w:type="dxa"/>
              <w:end w:w="95" w:type="dxa"/>
            </w:tcMar>
          </w:tcPr>
          <w:p>
            <w:pPr>
              <w:spacing w:after="0"/>
            </w:pPr>
            <w:r>
              <w:rPr>
                <w:sz w:val="17"/>
              </w:rPr>
              <w:t>Help consumers schedule pickup or find authorised collection channels [6][14].</w:t>
            </w:r>
          </w:p>
        </w:tc>
        <w:tc>
          <w:tcPr>
            <w:tcW w:type="dxa" w:w="3888"/>
            <w:vAlign w:val="top"/>
            <w:tcMar>
              <w:top w:w="80" w:type="dxa"/>
              <w:start w:w="95" w:type="dxa"/>
              <w:bottom w:w="80" w:type="dxa"/>
              <w:end w:w="95" w:type="dxa"/>
            </w:tcMar>
          </w:tcPr>
          <w:p>
            <w:pPr>
              <w:spacing w:after="0"/>
            </w:pPr>
            <w:r>
              <w:rPr>
                <w:sz w:val="17"/>
              </w:rPr>
              <w:t>They do not interpret the item’s immediate safety risk or explain why handling should stop.</w:t>
            </w:r>
          </w:p>
        </w:tc>
      </w:tr>
      <w:tr>
        <w:trPr>
          <w:cantSplit/>
        </w:trPr>
        <w:tc>
          <w:tcPr>
            <w:tcW w:type="dxa" w:w="2015"/>
            <w:vAlign w:val="top"/>
            <w:tcMar>
              <w:top w:w="80" w:type="dxa"/>
              <w:start w:w="95" w:type="dxa"/>
              <w:bottom w:w="80" w:type="dxa"/>
              <w:end w:w="95" w:type="dxa"/>
            </w:tcMar>
            <w:shd w:fill="F4F6F8"/>
          </w:tcPr>
          <w:p>
            <w:pPr>
              <w:spacing w:after="0"/>
            </w:pPr>
            <w:r>
              <w:rPr>
                <w:sz w:val="17"/>
              </w:rPr>
              <w:t>Training and shared workspaces</w:t>
            </w:r>
          </w:p>
        </w:tc>
        <w:tc>
          <w:tcPr>
            <w:tcW w:type="dxa" w:w="3600"/>
            <w:vAlign w:val="top"/>
            <w:tcMar>
              <w:top w:w="80" w:type="dxa"/>
              <w:start w:w="95" w:type="dxa"/>
              <w:bottom w:w="80" w:type="dxa"/>
              <w:end w:w="95" w:type="dxa"/>
            </w:tcMar>
            <w:shd w:fill="F4F6F8"/>
          </w:tcPr>
          <w:p>
            <w:pPr>
              <w:spacing w:after="0"/>
            </w:pPr>
            <w:r>
              <w:rPr>
                <w:sz w:val="17"/>
              </w:rPr>
              <w:t>Programmes teach safe dismantling, segregation and regulation; models such as E[co]work provide safer shared facilities [7][15].</w:t>
            </w:r>
          </w:p>
        </w:tc>
        <w:tc>
          <w:tcPr>
            <w:tcW w:type="dxa" w:w="3888"/>
            <w:vAlign w:val="top"/>
            <w:tcMar>
              <w:top w:w="80" w:type="dxa"/>
              <w:start w:w="95" w:type="dxa"/>
              <w:bottom w:w="80" w:type="dxa"/>
              <w:end w:w="95" w:type="dxa"/>
            </w:tcMar>
            <w:shd w:fill="F4F6F8"/>
          </w:tcPr>
          <w:p>
            <w:pPr>
              <w:spacing w:after="0"/>
            </w:pPr>
            <w:r>
              <w:rPr>
                <w:sz w:val="17"/>
              </w:rPr>
              <w:t>Training is valuable but static. Workers still need conservative item-specific triage and reinforcement at the point of work.</w:t>
            </w:r>
          </w:p>
        </w:tc>
      </w:tr>
      <w:tr>
        <w:trPr>
          <w:cantSplit/>
        </w:trPr>
        <w:tc>
          <w:tcPr>
            <w:tcW w:type="dxa" w:w="2015"/>
            <w:vAlign w:val="top"/>
            <w:tcMar>
              <w:top w:w="80" w:type="dxa"/>
              <w:start w:w="95" w:type="dxa"/>
              <w:bottom w:w="80" w:type="dxa"/>
              <w:end w:w="95" w:type="dxa"/>
            </w:tcMar>
          </w:tcPr>
          <w:p>
            <w:pPr>
              <w:spacing w:after="0"/>
            </w:pPr>
            <w:r>
              <w:rPr>
                <w:sz w:val="17"/>
              </w:rPr>
              <w:t>Generic LLM assistants</w:t>
            </w:r>
          </w:p>
        </w:tc>
        <w:tc>
          <w:tcPr>
            <w:tcW w:type="dxa" w:w="3600"/>
            <w:vAlign w:val="top"/>
            <w:tcMar>
              <w:top w:w="80" w:type="dxa"/>
              <w:start w:w="95" w:type="dxa"/>
              <w:bottom w:w="80" w:type="dxa"/>
              <w:end w:w="95" w:type="dxa"/>
            </w:tcMar>
          </w:tcPr>
          <w:p>
            <w:pPr>
              <w:spacing w:after="0"/>
            </w:pPr>
            <w:r>
              <w:rPr>
                <w:sz w:val="17"/>
              </w:rPr>
              <w:t>Can generate safety text from prompts.</w:t>
            </w:r>
          </w:p>
        </w:tc>
        <w:tc>
          <w:tcPr>
            <w:tcW w:type="dxa" w:w="3888"/>
            <w:vAlign w:val="top"/>
            <w:tcMar>
              <w:top w:w="80" w:type="dxa"/>
              <w:start w:w="95" w:type="dxa"/>
              <w:bottom w:w="80" w:type="dxa"/>
              <w:end w:w="95" w:type="dxa"/>
            </w:tcMar>
          </w:tcPr>
          <w:p>
            <w:pPr>
              <w:spacing w:after="0"/>
            </w:pPr>
            <w:r>
              <w:rPr>
                <w:sz w:val="17"/>
              </w:rPr>
              <w:t>May hallucinate, overstate certainty or accidentally give dangerous instructions unless tightly constrained and verified.</w:t>
            </w:r>
          </w:p>
        </w:tc>
      </w:tr>
    </w:tbl>
    <w:p>
      <w:pPr>
        <w:spacing w:after="0"/>
      </w:pPr>
    </w:p>
    <w:p>
      <w:pPr>
        <w:pStyle w:val="Heading1"/>
      </w:pPr>
      <w:r>
        <w:t>5. Research gap and defensible novelty</w:t>
      </w:r>
    </w:p>
    <w:tbl>
      <w:tblPr>
        <w:tblW w:type="auto" w:w="0"/>
        <w:jc w:val="center"/>
        <w:tblLayout w:type="autofit"/>
        <w:tblLook w:firstColumn="1" w:firstRow="1" w:lastColumn="0" w:lastRow="0" w:noHBand="0" w:noVBand="1" w:val="04A0"/>
      </w:tblPr>
      <w:tblGrid>
        <w:gridCol w:w="9922"/>
      </w:tblGrid>
      <w:tr>
        <w:trPr>
          <w:cantSplit/>
        </w:trPr>
        <w:tc>
          <w:tcPr>
            <w:tcW w:type="dxa" w:w="9922"/>
            <w:shd w:fill="EAF6F7"/>
            <w:tcMar>
              <w:top w:w="140" w:type="dxa"/>
              <w:start w:w="170" w:type="dxa"/>
              <w:bottom w:w="140" w:type="dxa"/>
              <w:end w:w="170" w:type="dxa"/>
            </w:tcMar>
          </w:tcPr>
          <w:p>
            <w:pPr>
              <w:keepLines/>
            </w:pPr>
            <w:r>
              <w:rPr>
                <w:b/>
              </w:rPr>
              <w:t xml:space="preserve">Honest novelty claim: </w:t>
            </w:r>
            <w:r>
              <w:t>The reviewed literature shows strong work on e-waste classification, sorting, collection and training. It does not show a well-established worker-facing system whose primary research task is calibrated pre-dismantling risk triage from uncontrolled mobile images plus context, with a safety-first abstention policy and formal-sector escalation. This must still be confirmed through a systematic review before paper submission.</w:t>
            </w:r>
          </w:p>
        </w:tc>
      </w:tr>
    </w:tbl>
    <w:p>
      <w:pPr>
        <w:spacing w:after="0"/>
      </w:pPr>
    </w:p>
    <w:p>
      <w:pPr>
        <w:pStyle w:val="ListBullet"/>
        <w:spacing w:after="40"/>
      </w:pPr>
      <w:r>
        <w:rPr>
          <w:b/>
        </w:rPr>
        <w:t xml:space="preserve">Novel problem formulation. </w:t>
      </w:r>
      <w:r>
        <w:t>Predict the safest action class, not merely the object category.</w:t>
      </w:r>
    </w:p>
    <w:p>
      <w:pPr>
        <w:pStyle w:val="ListBullet"/>
        <w:spacing w:after="40"/>
      </w:pPr>
      <w:r>
        <w:rPr>
          <w:b/>
        </w:rPr>
        <w:t xml:space="preserve">New hazard-action dataset. </w:t>
      </w:r>
      <w:r>
        <w:t>Annotate visible condition, context, uncertainty and safe action, creating a dataset that current category-only datasets do not provide.</w:t>
      </w:r>
    </w:p>
    <w:p>
      <w:pPr>
        <w:pStyle w:val="ListBullet"/>
        <w:spacing w:after="40"/>
      </w:pPr>
      <w:r>
        <w:rPr>
          <w:b/>
        </w:rPr>
        <w:t xml:space="preserve">Safety-critical calibration. </w:t>
      </w:r>
      <w:r>
        <w:t>Optimise for a very low false-safe rate. A model that is uncertain must abstain and escalate.</w:t>
      </w:r>
    </w:p>
    <w:p>
      <w:pPr>
        <w:pStyle w:val="ListBullet"/>
        <w:spacing w:after="40"/>
      </w:pPr>
      <w:r>
        <w:rPr>
          <w:b/>
        </w:rPr>
        <w:t xml:space="preserve">Multimodal field reasoning. </w:t>
      </w:r>
      <w:r>
        <w:t>Fuse image evidence with short questions such as “Is it hot?”, “Is the battery swollen?”, “Is liquid visible?” and “Is trained supervision available?”</w:t>
      </w:r>
    </w:p>
    <w:p>
      <w:pPr>
        <w:pStyle w:val="ListBullet"/>
        <w:spacing w:after="40"/>
      </w:pPr>
      <w:r>
        <w:rPr>
          <w:b/>
        </w:rPr>
        <w:t xml:space="preserve">Worker-centred accessibility. </w:t>
      </w:r>
      <w:r>
        <w:t>Test whether Marathi/Hindi audio and icon-based instructions improve correct decisions for users with different literacy levels.</w:t>
      </w:r>
    </w:p>
    <w:p>
      <w:pPr>
        <w:pStyle w:val="ListBullet"/>
        <w:spacing w:after="40"/>
      </w:pPr>
      <w:r>
        <w:rPr>
          <w:b/>
        </w:rPr>
        <w:t xml:space="preserve">Agentic verification with a real role. </w:t>
      </w:r>
      <w:r>
        <w:t>One agent retrieves approved guidance; a second safety-verifier rejects unsupported or overly detailed instructions; a routing agent identifies authorised options.</w:t>
      </w:r>
    </w:p>
    <w:tbl>
      <w:tblPr>
        <w:tblW w:type="auto" w:w="0"/>
        <w:jc w:val="center"/>
        <w:tblLayout w:type="autofit"/>
        <w:tblLook w:firstColumn="1" w:firstRow="1" w:lastColumn="0" w:lastRow="0" w:noHBand="0" w:noVBand="1" w:val="04A0"/>
      </w:tblPr>
      <w:tblGrid>
        <w:gridCol w:w="9922"/>
      </w:tblGrid>
      <w:tr>
        <w:trPr>
          <w:cantSplit/>
        </w:trPr>
        <w:tc>
          <w:tcPr>
            <w:tcW w:type="dxa" w:w="9922"/>
            <w:shd w:fill="EAF6F7"/>
            <w:tcMar>
              <w:top w:w="140" w:type="dxa"/>
              <w:start w:w="170" w:type="dxa"/>
              <w:bottom w:w="140" w:type="dxa"/>
              <w:end w:w="170" w:type="dxa"/>
            </w:tcMar>
          </w:tcPr>
          <w:p>
            <w:pPr>
              <w:keepLines/>
            </w:pPr>
            <w:r>
              <w:rPr>
                <w:b/>
              </w:rPr>
              <w:t xml:space="preserve">What would not be novel: </w:t>
            </w:r>
            <w:r>
              <w:t>Training YOLO to classify ten e-waste categories, adding a chatbot and showing a recycler map. That is a useful student application, but recent papers and products already cover those ingredients.</w:t>
            </w:r>
          </w:p>
        </w:tc>
      </w:tr>
    </w:tbl>
    <w:p>
      <w:pPr>
        <w:spacing w:after="0"/>
      </w:pPr>
    </w:p>
    <w:p>
      <w:pPr>
        <w:pStyle w:val="Heading1"/>
      </w:pPr>
      <w:r>
        <w:t>6. Proposed system architecture</w:t>
      </w:r>
    </w:p>
    <w:p>
      <w:pPr>
        <w:jc w:val="center"/>
      </w:pPr>
      <w:r>
        <w:drawing>
          <wp:inline xmlns:a="http://schemas.openxmlformats.org/drawingml/2006/main" xmlns:pic="http://schemas.openxmlformats.org/drawingml/2006/picture">
            <wp:extent cx="6126480" cy="1463548"/>
            <wp:docPr id="2" name="Picture 2"/>
            <wp:cNvGraphicFramePr>
              <a:graphicFrameLocks noChangeAspect="1"/>
            </wp:cNvGraphicFramePr>
            <a:graphic>
              <a:graphicData uri="http://schemas.openxmlformats.org/drawingml/2006/picture">
                <pic:pic>
                  <pic:nvPicPr>
                    <pic:cNvPr id="0" name="esafe_flow.png"/>
                    <pic:cNvPicPr/>
                  </pic:nvPicPr>
                  <pic:blipFill>
                    <a:blip r:embed="rId11"/>
                    <a:stretch>
                      <a:fillRect/>
                    </a:stretch>
                  </pic:blipFill>
                  <pic:spPr>
                    <a:xfrm>
                      <a:off x="0" y="0"/>
                      <a:ext cx="6126480" cy="146354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232"/>
            <w:shd w:fill="17324D"/>
            <w:tcMar>
              <w:top w:w="90" w:type="dxa"/>
              <w:start w:w="100" w:type="dxa"/>
              <w:bottom w:w="90" w:type="dxa"/>
              <w:end w:w="100" w:type="dxa"/>
            </w:tcMar>
          </w:tcPr>
          <w:p>
            <w:pPr>
              <w:jc w:val="center"/>
            </w:pPr>
            <w:r>
              <w:rPr>
                <w:b/>
                <w:color w:val="FFFFFF"/>
                <w:sz w:val="17"/>
              </w:rPr>
              <w:t>Component</w:t>
            </w:r>
          </w:p>
        </w:tc>
        <w:tc>
          <w:tcPr>
            <w:tcW w:type="dxa" w:w="4680"/>
            <w:shd w:fill="17324D"/>
            <w:tcMar>
              <w:top w:w="90" w:type="dxa"/>
              <w:start w:w="100" w:type="dxa"/>
              <w:bottom w:w="90" w:type="dxa"/>
              <w:end w:w="100" w:type="dxa"/>
            </w:tcMar>
          </w:tcPr>
          <w:p>
            <w:pPr>
              <w:jc w:val="center"/>
            </w:pPr>
            <w:r>
              <w:rPr>
                <w:b/>
                <w:color w:val="FFFFFF"/>
                <w:sz w:val="17"/>
              </w:rPr>
              <w:t>Role</w:t>
            </w:r>
          </w:p>
        </w:tc>
        <w:tc>
          <w:tcPr>
            <w:tcW w:type="dxa" w:w="2592"/>
            <w:shd w:fill="17324D"/>
            <w:tcMar>
              <w:top w:w="90" w:type="dxa"/>
              <w:start w:w="100" w:type="dxa"/>
              <w:bottom w:w="90" w:type="dxa"/>
              <w:end w:w="100" w:type="dxa"/>
            </w:tcMar>
          </w:tcPr>
          <w:p>
            <w:pPr>
              <w:jc w:val="center"/>
            </w:pPr>
            <w:r>
              <w:rPr>
                <w:b/>
                <w:color w:val="FFFFFF"/>
                <w:sz w:val="17"/>
              </w:rPr>
              <w:t>Train or configure?</w:t>
            </w:r>
          </w:p>
        </w:tc>
      </w:tr>
      <w:tr>
        <w:trPr>
          <w:cantSplit/>
        </w:trPr>
        <w:tc>
          <w:tcPr>
            <w:tcW w:type="dxa" w:w="2232"/>
            <w:vAlign w:val="top"/>
            <w:tcMar>
              <w:top w:w="80" w:type="dxa"/>
              <w:start w:w="95" w:type="dxa"/>
              <w:bottom w:w="80" w:type="dxa"/>
              <w:end w:w="95" w:type="dxa"/>
            </w:tcMar>
          </w:tcPr>
          <w:p>
            <w:pPr>
              <w:spacing w:after="0"/>
            </w:pPr>
            <w:r>
              <w:rPr>
                <w:sz w:val="17"/>
              </w:rPr>
              <w:t>Mobile capture and guided questions</w:t>
            </w:r>
          </w:p>
        </w:tc>
        <w:tc>
          <w:tcPr>
            <w:tcW w:type="dxa" w:w="4680"/>
            <w:vAlign w:val="top"/>
            <w:tcMar>
              <w:top w:w="80" w:type="dxa"/>
              <w:start w:w="95" w:type="dxa"/>
              <w:bottom w:w="80" w:type="dxa"/>
              <w:end w:w="95" w:type="dxa"/>
            </w:tcMar>
          </w:tcPr>
          <w:p>
            <w:pPr>
              <w:spacing w:after="0"/>
            </w:pPr>
            <w:r>
              <w:rPr>
                <w:sz w:val="17"/>
              </w:rPr>
              <w:t>Controls photo angle, collects visible-condition answers, works with weak connectivity.</w:t>
            </w:r>
          </w:p>
        </w:tc>
        <w:tc>
          <w:tcPr>
            <w:tcW w:type="dxa" w:w="2592"/>
            <w:vAlign w:val="top"/>
            <w:tcMar>
              <w:top w:w="80" w:type="dxa"/>
              <w:start w:w="95" w:type="dxa"/>
              <w:bottom w:w="80" w:type="dxa"/>
              <w:end w:w="95" w:type="dxa"/>
            </w:tcMar>
          </w:tcPr>
          <w:p>
            <w:pPr>
              <w:spacing w:after="0"/>
            </w:pPr>
            <w:r>
              <w:rPr>
                <w:sz w:val="17"/>
              </w:rPr>
              <w:t>Application design</w:t>
            </w:r>
          </w:p>
        </w:tc>
      </w:tr>
      <w:tr>
        <w:trPr>
          <w:cantSplit/>
        </w:trPr>
        <w:tc>
          <w:tcPr>
            <w:tcW w:type="dxa" w:w="2232"/>
            <w:vAlign w:val="top"/>
            <w:tcMar>
              <w:top w:w="80" w:type="dxa"/>
              <w:start w:w="95" w:type="dxa"/>
              <w:bottom w:w="80" w:type="dxa"/>
              <w:end w:w="95" w:type="dxa"/>
            </w:tcMar>
            <w:shd w:fill="F4F6F8"/>
          </w:tcPr>
          <w:p>
            <w:pPr>
              <w:spacing w:after="0"/>
            </w:pPr>
            <w:r>
              <w:rPr>
                <w:sz w:val="17"/>
              </w:rPr>
              <w:t>Hazard-cue detector</w:t>
            </w:r>
          </w:p>
        </w:tc>
        <w:tc>
          <w:tcPr>
            <w:tcW w:type="dxa" w:w="4680"/>
            <w:vAlign w:val="top"/>
            <w:tcMar>
              <w:top w:w="80" w:type="dxa"/>
              <w:start w:w="95" w:type="dxa"/>
              <w:bottom w:w="80" w:type="dxa"/>
              <w:end w:w="95" w:type="dxa"/>
            </w:tcMar>
            <w:shd w:fill="F4F6F8"/>
          </w:tcPr>
          <w:p>
            <w:pPr>
              <w:spacing w:after="0"/>
            </w:pPr>
            <w:r>
              <w:rPr>
                <w:sz w:val="17"/>
              </w:rPr>
              <w:t>Detects device type, battery, PCB, damage, swelling, leakage cue, exposed wire and warning labels where visible.</w:t>
            </w:r>
          </w:p>
        </w:tc>
        <w:tc>
          <w:tcPr>
            <w:tcW w:type="dxa" w:w="2592"/>
            <w:vAlign w:val="top"/>
            <w:tcMar>
              <w:top w:w="80" w:type="dxa"/>
              <w:start w:w="95" w:type="dxa"/>
              <w:bottom w:w="80" w:type="dxa"/>
              <w:end w:w="95" w:type="dxa"/>
            </w:tcMar>
            <w:shd w:fill="F4F6F8"/>
          </w:tcPr>
          <w:p>
            <w:pPr>
              <w:spacing w:after="0"/>
            </w:pPr>
            <w:r>
              <w:rPr>
                <w:sz w:val="17"/>
              </w:rPr>
              <w:t>Train/fine-tune object detector</w:t>
            </w:r>
          </w:p>
        </w:tc>
      </w:tr>
      <w:tr>
        <w:trPr>
          <w:cantSplit/>
        </w:trPr>
        <w:tc>
          <w:tcPr>
            <w:tcW w:type="dxa" w:w="2232"/>
            <w:vAlign w:val="top"/>
            <w:tcMar>
              <w:top w:w="80" w:type="dxa"/>
              <w:start w:w="95" w:type="dxa"/>
              <w:bottom w:w="80" w:type="dxa"/>
              <w:end w:w="95" w:type="dxa"/>
            </w:tcMar>
          </w:tcPr>
          <w:p>
            <w:pPr>
              <w:spacing w:after="0"/>
            </w:pPr>
            <w:r>
              <w:rPr>
                <w:sz w:val="17"/>
              </w:rPr>
              <w:t>Action-risk model</w:t>
            </w:r>
          </w:p>
        </w:tc>
        <w:tc>
          <w:tcPr>
            <w:tcW w:type="dxa" w:w="4680"/>
            <w:vAlign w:val="top"/>
            <w:tcMar>
              <w:top w:w="80" w:type="dxa"/>
              <w:start w:w="95" w:type="dxa"/>
              <w:bottom w:w="80" w:type="dxa"/>
              <w:end w:w="95" w:type="dxa"/>
            </w:tcMar>
          </w:tcPr>
          <w:p>
            <w:pPr>
              <w:spacing w:after="0"/>
            </w:pPr>
            <w:r>
              <w:rPr>
                <w:sz w:val="17"/>
              </w:rPr>
              <w:t>Fuses detected cues and context to predict Green / Amber / Red handling action.</w:t>
            </w:r>
          </w:p>
        </w:tc>
        <w:tc>
          <w:tcPr>
            <w:tcW w:type="dxa" w:w="2592"/>
            <w:vAlign w:val="top"/>
            <w:tcMar>
              <w:top w:w="80" w:type="dxa"/>
              <w:start w:w="95" w:type="dxa"/>
              <w:bottom w:w="80" w:type="dxa"/>
              <w:end w:w="95" w:type="dxa"/>
            </w:tcMar>
          </w:tcPr>
          <w:p>
            <w:pPr>
              <w:spacing w:after="0"/>
            </w:pPr>
            <w:r>
              <w:rPr>
                <w:sz w:val="17"/>
              </w:rPr>
              <w:t>Train classifier or gradient-boosting model</w:t>
            </w:r>
          </w:p>
        </w:tc>
      </w:tr>
      <w:tr>
        <w:trPr>
          <w:cantSplit/>
        </w:trPr>
        <w:tc>
          <w:tcPr>
            <w:tcW w:type="dxa" w:w="2232"/>
            <w:vAlign w:val="top"/>
            <w:tcMar>
              <w:top w:w="80" w:type="dxa"/>
              <w:start w:w="95" w:type="dxa"/>
              <w:bottom w:w="80" w:type="dxa"/>
              <w:end w:w="95" w:type="dxa"/>
            </w:tcMar>
            <w:shd w:fill="F4F6F8"/>
          </w:tcPr>
          <w:p>
            <w:pPr>
              <w:spacing w:after="0"/>
            </w:pPr>
            <w:r>
              <w:rPr>
                <w:sz w:val="17"/>
              </w:rPr>
              <w:t>Confidence calibrator</w:t>
            </w:r>
          </w:p>
        </w:tc>
        <w:tc>
          <w:tcPr>
            <w:tcW w:type="dxa" w:w="4680"/>
            <w:vAlign w:val="top"/>
            <w:tcMar>
              <w:top w:w="80" w:type="dxa"/>
              <w:start w:w="95" w:type="dxa"/>
              <w:bottom w:w="80" w:type="dxa"/>
              <w:end w:w="95" w:type="dxa"/>
            </w:tcMar>
            <w:shd w:fill="F4F6F8"/>
          </w:tcPr>
          <w:p>
            <w:pPr>
              <w:spacing w:after="0"/>
            </w:pPr>
            <w:r>
              <w:rPr>
                <w:sz w:val="17"/>
              </w:rPr>
              <w:t>Estimates whether the risk prediction can be trusted and triggers abstention.</w:t>
            </w:r>
          </w:p>
        </w:tc>
        <w:tc>
          <w:tcPr>
            <w:tcW w:type="dxa" w:w="2592"/>
            <w:vAlign w:val="top"/>
            <w:tcMar>
              <w:top w:w="80" w:type="dxa"/>
              <w:start w:w="95" w:type="dxa"/>
              <w:bottom w:w="80" w:type="dxa"/>
              <w:end w:w="95" w:type="dxa"/>
            </w:tcMar>
            <w:shd w:fill="F4F6F8"/>
          </w:tcPr>
          <w:p>
            <w:pPr>
              <w:spacing w:after="0"/>
            </w:pPr>
            <w:r>
              <w:rPr>
                <w:sz w:val="17"/>
              </w:rPr>
              <w:t>Train calibration layer</w:t>
            </w:r>
          </w:p>
        </w:tc>
      </w:tr>
      <w:tr>
        <w:trPr>
          <w:cantSplit/>
        </w:trPr>
        <w:tc>
          <w:tcPr>
            <w:tcW w:type="dxa" w:w="2232"/>
            <w:vAlign w:val="top"/>
            <w:tcMar>
              <w:top w:w="80" w:type="dxa"/>
              <w:start w:w="95" w:type="dxa"/>
              <w:bottom w:w="80" w:type="dxa"/>
              <w:end w:w="95" w:type="dxa"/>
            </w:tcMar>
          </w:tcPr>
          <w:p>
            <w:pPr>
              <w:spacing w:after="0"/>
            </w:pPr>
            <w:r>
              <w:rPr>
                <w:sz w:val="17"/>
              </w:rPr>
              <w:t>Safety specialist agent</w:t>
            </w:r>
          </w:p>
        </w:tc>
        <w:tc>
          <w:tcPr>
            <w:tcW w:type="dxa" w:w="4680"/>
            <w:vAlign w:val="top"/>
            <w:tcMar>
              <w:top w:w="80" w:type="dxa"/>
              <w:start w:w="95" w:type="dxa"/>
              <w:bottom w:w="80" w:type="dxa"/>
              <w:end w:w="95" w:type="dxa"/>
            </w:tcMar>
          </w:tcPr>
          <w:p>
            <w:pPr>
              <w:spacing w:after="0"/>
            </w:pPr>
            <w:r>
              <w:rPr>
                <w:sz w:val="17"/>
              </w:rPr>
              <w:t>Retrieves only approved, item-relevant guidance from CPCB/WHO/manufacturer safety material.</w:t>
            </w:r>
          </w:p>
        </w:tc>
        <w:tc>
          <w:tcPr>
            <w:tcW w:type="dxa" w:w="2592"/>
            <w:vAlign w:val="top"/>
            <w:tcMar>
              <w:top w:w="80" w:type="dxa"/>
              <w:start w:w="95" w:type="dxa"/>
              <w:bottom w:w="80" w:type="dxa"/>
              <w:end w:w="95" w:type="dxa"/>
            </w:tcMar>
          </w:tcPr>
          <w:p>
            <w:pPr>
              <w:spacing w:after="0"/>
            </w:pPr>
            <w:r>
              <w:rPr>
                <w:sz w:val="17"/>
              </w:rPr>
              <w:t>RAG, not free-web browsing</w:t>
            </w:r>
          </w:p>
        </w:tc>
      </w:tr>
      <w:tr>
        <w:trPr>
          <w:cantSplit/>
        </w:trPr>
        <w:tc>
          <w:tcPr>
            <w:tcW w:type="dxa" w:w="2232"/>
            <w:vAlign w:val="top"/>
            <w:tcMar>
              <w:top w:w="80" w:type="dxa"/>
              <w:start w:w="95" w:type="dxa"/>
              <w:bottom w:w="80" w:type="dxa"/>
              <w:end w:w="95" w:type="dxa"/>
            </w:tcMar>
            <w:shd w:fill="F4F6F8"/>
          </w:tcPr>
          <w:p>
            <w:pPr>
              <w:spacing w:after="0"/>
            </w:pPr>
            <w:r>
              <w:rPr>
                <w:sz w:val="17"/>
              </w:rPr>
              <w:t>Safety verifier agent</w:t>
            </w:r>
          </w:p>
        </w:tc>
        <w:tc>
          <w:tcPr>
            <w:tcW w:type="dxa" w:w="4680"/>
            <w:vAlign w:val="top"/>
            <w:tcMar>
              <w:top w:w="80" w:type="dxa"/>
              <w:start w:w="95" w:type="dxa"/>
              <w:bottom w:w="80" w:type="dxa"/>
              <w:end w:w="95" w:type="dxa"/>
            </w:tcMar>
            <w:shd w:fill="F4F6F8"/>
          </w:tcPr>
          <w:p>
            <w:pPr>
              <w:spacing w:after="0"/>
            </w:pPr>
            <w:r>
              <w:rPr>
                <w:sz w:val="17"/>
              </w:rPr>
              <w:t>Checks that advice is supported, conservative and contains no extraction or dangerous dismantling steps.</w:t>
            </w:r>
          </w:p>
        </w:tc>
        <w:tc>
          <w:tcPr>
            <w:tcW w:type="dxa" w:w="2592"/>
            <w:vAlign w:val="top"/>
            <w:tcMar>
              <w:top w:w="80" w:type="dxa"/>
              <w:start w:w="95" w:type="dxa"/>
              <w:bottom w:w="80" w:type="dxa"/>
              <w:end w:w="95" w:type="dxa"/>
            </w:tcMar>
            <w:shd w:fill="F4F6F8"/>
          </w:tcPr>
          <w:p>
            <w:pPr>
              <w:spacing w:after="0"/>
            </w:pPr>
            <w:r>
              <w:rPr>
                <w:sz w:val="17"/>
              </w:rPr>
              <w:t>Rule guardrails + LLM verifier</w:t>
            </w:r>
          </w:p>
        </w:tc>
      </w:tr>
      <w:tr>
        <w:trPr>
          <w:cantSplit/>
        </w:trPr>
        <w:tc>
          <w:tcPr>
            <w:tcW w:type="dxa" w:w="2232"/>
            <w:vAlign w:val="top"/>
            <w:tcMar>
              <w:top w:w="80" w:type="dxa"/>
              <w:start w:w="95" w:type="dxa"/>
              <w:bottom w:w="80" w:type="dxa"/>
              <w:end w:w="95" w:type="dxa"/>
            </w:tcMar>
          </w:tcPr>
          <w:p>
            <w:pPr>
              <w:spacing w:after="0"/>
            </w:pPr>
            <w:r>
              <w:rPr>
                <w:sz w:val="17"/>
              </w:rPr>
              <w:t>Routing agent</w:t>
            </w:r>
          </w:p>
        </w:tc>
        <w:tc>
          <w:tcPr>
            <w:tcW w:type="dxa" w:w="4680"/>
            <w:vAlign w:val="top"/>
            <w:tcMar>
              <w:top w:w="80" w:type="dxa"/>
              <w:start w:w="95" w:type="dxa"/>
              <w:bottom w:w="80" w:type="dxa"/>
              <w:end w:w="95" w:type="dxa"/>
            </w:tcMar>
          </w:tcPr>
          <w:p>
            <w:pPr>
              <w:spacing w:after="0"/>
            </w:pPr>
            <w:r>
              <w:rPr>
                <w:sz w:val="17"/>
              </w:rPr>
              <w:t>Shows nearby authorised collection/recycling options and creates a handover record.</w:t>
            </w:r>
          </w:p>
        </w:tc>
        <w:tc>
          <w:tcPr>
            <w:tcW w:type="dxa" w:w="2592"/>
            <w:vAlign w:val="top"/>
            <w:tcMar>
              <w:top w:w="80" w:type="dxa"/>
              <w:start w:w="95" w:type="dxa"/>
              <w:bottom w:w="80" w:type="dxa"/>
              <w:end w:w="95" w:type="dxa"/>
            </w:tcMar>
          </w:tcPr>
          <w:p>
            <w:pPr>
              <w:spacing w:after="0"/>
            </w:pPr>
            <w:r>
              <w:rPr>
                <w:sz w:val="17"/>
              </w:rPr>
              <w:t>Geospatial search / curated database</w:t>
            </w:r>
          </w:p>
        </w:tc>
      </w:tr>
      <w:tr>
        <w:trPr>
          <w:cantSplit/>
        </w:trPr>
        <w:tc>
          <w:tcPr>
            <w:tcW w:type="dxa" w:w="2232"/>
            <w:vAlign w:val="top"/>
            <w:tcMar>
              <w:top w:w="80" w:type="dxa"/>
              <w:start w:w="95" w:type="dxa"/>
              <w:bottom w:w="80" w:type="dxa"/>
              <w:end w:w="95" w:type="dxa"/>
            </w:tcMar>
            <w:shd w:fill="F4F6F8"/>
          </w:tcPr>
          <w:p>
            <w:pPr>
              <w:spacing w:after="0"/>
            </w:pPr>
            <w:r>
              <w:rPr>
                <w:sz w:val="17"/>
              </w:rPr>
              <w:t>Training and exposure log</w:t>
            </w:r>
          </w:p>
        </w:tc>
        <w:tc>
          <w:tcPr>
            <w:tcW w:type="dxa" w:w="4680"/>
            <w:vAlign w:val="top"/>
            <w:tcMar>
              <w:top w:w="80" w:type="dxa"/>
              <w:start w:w="95" w:type="dxa"/>
              <w:bottom w:w="80" w:type="dxa"/>
              <w:end w:w="95" w:type="dxa"/>
            </w:tcMar>
            <w:shd w:fill="F4F6F8"/>
          </w:tcPr>
          <w:p>
            <w:pPr>
              <w:spacing w:after="0"/>
            </w:pPr>
            <w:r>
              <w:rPr>
                <w:sz w:val="17"/>
              </w:rPr>
              <w:t>Tracks repeated hazards, completed micro-lessons and PPE gaps for supervisors or NGOs.</w:t>
            </w:r>
          </w:p>
        </w:tc>
        <w:tc>
          <w:tcPr>
            <w:tcW w:type="dxa" w:w="2592"/>
            <w:vAlign w:val="top"/>
            <w:tcMar>
              <w:top w:w="80" w:type="dxa"/>
              <w:start w:w="95" w:type="dxa"/>
              <w:bottom w:w="80" w:type="dxa"/>
              <w:end w:w="95" w:type="dxa"/>
            </w:tcMar>
            <w:shd w:fill="F4F6F8"/>
          </w:tcPr>
          <w:p>
            <w:pPr>
              <w:spacing w:after="0"/>
            </w:pPr>
            <w:r>
              <w:rPr>
                <w:sz w:val="17"/>
              </w:rPr>
              <w:t>Application analytics</w:t>
            </w:r>
          </w:p>
        </w:tc>
      </w:tr>
    </w:tbl>
    <w:p>
      <w:pPr>
        <w:spacing w:after="0"/>
      </w:pPr>
    </w:p>
    <w:p>
      <w:pPr>
        <w:pStyle w:val="Heading1"/>
      </w:pPr>
      <w:r>
        <w:t>7. Dataset collection plan</w:t>
      </w:r>
    </w:p>
    <w:p>
      <w:pPr>
        <w:pStyle w:val="Heading2"/>
      </w:pPr>
      <w:r>
        <w:t>7.1 Starting datasets</w:t>
      </w:r>
    </w:p>
    <w:p>
      <w:pPr>
        <w:pStyle w:val="ListBullet"/>
        <w:spacing w:after="40"/>
      </w:pPr>
      <w:r>
        <w:t>ElectroCom61 provides labelled images for 61 common electronic components and can support component detection pre-training [10].</w:t>
      </w:r>
    </w:p>
    <w:p>
      <w:pPr>
        <w:pStyle w:val="ListBullet"/>
        <w:spacing w:after="40"/>
      </w:pPr>
      <w:r>
        <w:t>Open e-waste category datasets and recent custom datasets can provide whole-device examples, but their labels are usually category labels rather than safety-action labels [11][12].</w:t>
      </w:r>
    </w:p>
    <w:p>
      <w:pPr>
        <w:pStyle w:val="ListBullet"/>
        <w:spacing w:after="40"/>
      </w:pPr>
      <w:r>
        <w:t>PCB-focused datasets may help recognise small components, but they are captured in cleaner conditions than an informal worksite.</w:t>
      </w:r>
    </w:p>
    <w:p>
      <w:pPr>
        <w:pStyle w:val="Heading2"/>
      </w:pPr>
      <w:r>
        <w:t>7.2 Dataset that the team must create</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872"/>
            <w:shd w:fill="17324D"/>
            <w:tcMar>
              <w:top w:w="90" w:type="dxa"/>
              <w:start w:w="100" w:type="dxa"/>
              <w:bottom w:w="90" w:type="dxa"/>
              <w:end w:w="100" w:type="dxa"/>
            </w:tcMar>
          </w:tcPr>
          <w:p>
            <w:pPr>
              <w:jc w:val="center"/>
            </w:pPr>
            <w:r>
              <w:rPr>
                <w:b/>
                <w:color w:val="FFFFFF"/>
                <w:sz w:val="17"/>
              </w:rPr>
              <w:t>Data item</w:t>
            </w:r>
          </w:p>
        </w:tc>
        <w:tc>
          <w:tcPr>
            <w:tcW w:type="dxa" w:w="3168"/>
            <w:shd w:fill="17324D"/>
            <w:tcMar>
              <w:top w:w="90" w:type="dxa"/>
              <w:start w:w="100" w:type="dxa"/>
              <w:bottom w:w="90" w:type="dxa"/>
              <w:end w:w="100" w:type="dxa"/>
            </w:tcMar>
          </w:tcPr>
          <w:p>
            <w:pPr>
              <w:jc w:val="center"/>
            </w:pPr>
            <w:r>
              <w:rPr>
                <w:b/>
                <w:color w:val="FFFFFF"/>
                <w:sz w:val="17"/>
              </w:rPr>
              <w:t>Target</w:t>
            </w:r>
          </w:p>
        </w:tc>
        <w:tc>
          <w:tcPr>
            <w:tcW w:type="dxa" w:w="4464"/>
            <w:shd w:fill="17324D"/>
            <w:tcMar>
              <w:top w:w="90" w:type="dxa"/>
              <w:start w:w="100" w:type="dxa"/>
              <w:bottom w:w="90" w:type="dxa"/>
              <w:end w:w="100" w:type="dxa"/>
            </w:tcMar>
          </w:tcPr>
          <w:p>
            <w:pPr>
              <w:jc w:val="center"/>
            </w:pPr>
            <w:r>
              <w:rPr>
                <w:b/>
                <w:color w:val="FFFFFF"/>
                <w:sz w:val="17"/>
              </w:rPr>
              <w:t>How to collect safely</w:t>
            </w:r>
          </w:p>
        </w:tc>
      </w:tr>
      <w:tr>
        <w:trPr>
          <w:cantSplit/>
        </w:trPr>
        <w:tc>
          <w:tcPr>
            <w:tcW w:type="dxa" w:w="1872"/>
            <w:vAlign w:val="top"/>
            <w:tcMar>
              <w:top w:w="80" w:type="dxa"/>
              <w:start w:w="95" w:type="dxa"/>
              <w:bottom w:w="80" w:type="dxa"/>
              <w:end w:w="95" w:type="dxa"/>
            </w:tcMar>
          </w:tcPr>
          <w:p>
            <w:pPr>
              <w:spacing w:after="0"/>
            </w:pPr>
            <w:r>
              <w:rPr>
                <w:sz w:val="17"/>
              </w:rPr>
              <w:t>Field/staged images</w:t>
            </w:r>
          </w:p>
        </w:tc>
        <w:tc>
          <w:tcPr>
            <w:tcW w:type="dxa" w:w="3168"/>
            <w:vAlign w:val="top"/>
            <w:tcMar>
              <w:top w:w="80" w:type="dxa"/>
              <w:start w:w="95" w:type="dxa"/>
              <w:bottom w:w="80" w:type="dxa"/>
              <w:end w:w="95" w:type="dxa"/>
            </w:tcMar>
          </w:tcPr>
          <w:p>
            <w:pPr>
              <w:spacing w:after="0"/>
            </w:pPr>
            <w:r>
              <w:rPr>
                <w:sz w:val="17"/>
              </w:rPr>
              <w:t>3,000–5,000 images across 6–8 item groups, varied lighting, clutter, damage and phone quality.</w:t>
            </w:r>
          </w:p>
        </w:tc>
        <w:tc>
          <w:tcPr>
            <w:tcW w:type="dxa" w:w="4464"/>
            <w:vAlign w:val="top"/>
            <w:tcMar>
              <w:top w:w="80" w:type="dxa"/>
              <w:start w:w="95" w:type="dxa"/>
              <w:bottom w:w="80" w:type="dxa"/>
              <w:end w:w="95" w:type="dxa"/>
            </w:tcMar>
          </w:tcPr>
          <w:p>
            <w:pPr>
              <w:spacing w:after="0"/>
            </w:pPr>
            <w:r>
              <w:rPr>
                <w:sz w:val="17"/>
              </w:rPr>
              <w:t>Partner with an authorised recycler, repair shops or SWaCH/NGO. Photograph inactive items only; never create swelling, leaks, fire or live electrical hazards for data collection.</w:t>
            </w:r>
          </w:p>
        </w:tc>
      </w:tr>
      <w:tr>
        <w:trPr>
          <w:cantSplit/>
        </w:trPr>
        <w:tc>
          <w:tcPr>
            <w:tcW w:type="dxa" w:w="1872"/>
            <w:vAlign w:val="top"/>
            <w:tcMar>
              <w:top w:w="80" w:type="dxa"/>
              <w:start w:w="95" w:type="dxa"/>
              <w:bottom w:w="80" w:type="dxa"/>
              <w:end w:w="95" w:type="dxa"/>
            </w:tcMar>
            <w:shd w:fill="F4F6F8"/>
          </w:tcPr>
          <w:p>
            <w:pPr>
              <w:spacing w:after="0"/>
            </w:pPr>
            <w:r>
              <w:rPr>
                <w:sz w:val="17"/>
              </w:rPr>
              <w:t>Bounding-box labels</w:t>
            </w:r>
          </w:p>
        </w:tc>
        <w:tc>
          <w:tcPr>
            <w:tcW w:type="dxa" w:w="3168"/>
            <w:vAlign w:val="top"/>
            <w:tcMar>
              <w:top w:w="80" w:type="dxa"/>
              <w:start w:w="95" w:type="dxa"/>
              <w:bottom w:w="80" w:type="dxa"/>
              <w:end w:w="95" w:type="dxa"/>
            </w:tcMar>
            <w:shd w:fill="F4F6F8"/>
          </w:tcPr>
          <w:p>
            <w:pPr>
              <w:spacing w:after="0"/>
            </w:pPr>
            <w:r>
              <w:rPr>
                <w:sz w:val="17"/>
              </w:rPr>
              <w:t>Device, battery, PCB, adapter, exposed conductor, cracked casing, swelling cue, corrosion/leak cue and warning symbol.</w:t>
            </w:r>
          </w:p>
        </w:tc>
        <w:tc>
          <w:tcPr>
            <w:tcW w:type="dxa" w:w="4464"/>
            <w:vAlign w:val="top"/>
            <w:tcMar>
              <w:top w:w="80" w:type="dxa"/>
              <w:start w:w="95" w:type="dxa"/>
              <w:bottom w:w="80" w:type="dxa"/>
              <w:end w:w="95" w:type="dxa"/>
            </w:tcMar>
            <w:shd w:fill="F4F6F8"/>
          </w:tcPr>
          <w:p>
            <w:pPr>
              <w:spacing w:after="0"/>
            </w:pPr>
            <w:r>
              <w:rPr>
                <w:sz w:val="17"/>
              </w:rPr>
              <w:t>Two annotators plus expert review for difficult labels.</w:t>
            </w:r>
          </w:p>
        </w:tc>
      </w:tr>
      <w:tr>
        <w:trPr>
          <w:cantSplit/>
        </w:trPr>
        <w:tc>
          <w:tcPr>
            <w:tcW w:type="dxa" w:w="1872"/>
            <w:vAlign w:val="top"/>
            <w:tcMar>
              <w:top w:w="80" w:type="dxa"/>
              <w:start w:w="95" w:type="dxa"/>
              <w:bottom w:w="80" w:type="dxa"/>
              <w:end w:w="95" w:type="dxa"/>
            </w:tcMar>
          </w:tcPr>
          <w:p>
            <w:pPr>
              <w:spacing w:after="0"/>
            </w:pPr>
            <w:r>
              <w:rPr>
                <w:sz w:val="17"/>
              </w:rPr>
              <w:t>Context records</w:t>
            </w:r>
          </w:p>
        </w:tc>
        <w:tc>
          <w:tcPr>
            <w:tcW w:type="dxa" w:w="3168"/>
            <w:vAlign w:val="top"/>
            <w:tcMar>
              <w:top w:w="80" w:type="dxa"/>
              <w:start w:w="95" w:type="dxa"/>
              <w:bottom w:w="80" w:type="dxa"/>
              <w:end w:w="95" w:type="dxa"/>
            </w:tcMar>
          </w:tcPr>
          <w:p>
            <w:pPr>
              <w:spacing w:after="0"/>
            </w:pPr>
            <w:r>
              <w:rPr>
                <w:sz w:val="17"/>
              </w:rPr>
              <w:t>Heat/smell/leak reports, power state, indoor/outdoor setting, available PPE, training level.</w:t>
            </w:r>
          </w:p>
        </w:tc>
        <w:tc>
          <w:tcPr>
            <w:tcW w:type="dxa" w:w="4464"/>
            <w:vAlign w:val="top"/>
            <w:tcMar>
              <w:top w:w="80" w:type="dxa"/>
              <w:start w:w="95" w:type="dxa"/>
              <w:bottom w:w="80" w:type="dxa"/>
              <w:end w:w="95" w:type="dxa"/>
            </w:tcMar>
          </w:tcPr>
          <w:p>
            <w:pPr>
              <w:spacing w:after="0"/>
            </w:pPr>
            <w:r>
              <w:rPr>
                <w:sz w:val="17"/>
              </w:rPr>
              <w:t>Use structured forms and simulated scenarios when real collection is unsafe.</w:t>
            </w:r>
          </w:p>
        </w:tc>
      </w:tr>
      <w:tr>
        <w:trPr>
          <w:cantSplit/>
        </w:trPr>
        <w:tc>
          <w:tcPr>
            <w:tcW w:type="dxa" w:w="1872"/>
            <w:vAlign w:val="top"/>
            <w:tcMar>
              <w:top w:w="80" w:type="dxa"/>
              <w:start w:w="95" w:type="dxa"/>
              <w:bottom w:w="80" w:type="dxa"/>
              <w:end w:w="95" w:type="dxa"/>
            </w:tcMar>
            <w:shd w:fill="F4F6F8"/>
          </w:tcPr>
          <w:p>
            <w:pPr>
              <w:spacing w:after="0"/>
            </w:pPr>
            <w:r>
              <w:rPr>
                <w:sz w:val="17"/>
              </w:rPr>
              <w:t>Action labels</w:t>
            </w:r>
          </w:p>
        </w:tc>
        <w:tc>
          <w:tcPr>
            <w:tcW w:type="dxa" w:w="3168"/>
            <w:vAlign w:val="top"/>
            <w:tcMar>
              <w:top w:w="80" w:type="dxa"/>
              <w:start w:w="95" w:type="dxa"/>
              <w:bottom w:w="80" w:type="dxa"/>
              <w:end w:w="95" w:type="dxa"/>
            </w:tcMar>
            <w:shd w:fill="F4F6F8"/>
          </w:tcPr>
          <w:p>
            <w:pPr>
              <w:spacing w:after="0"/>
            </w:pPr>
            <w:r>
              <w:rPr>
                <w:sz w:val="17"/>
              </w:rPr>
              <w:t>Green / Amber / Red, reason code, required escalation and allowable high-level safety message.</w:t>
            </w:r>
          </w:p>
        </w:tc>
        <w:tc>
          <w:tcPr>
            <w:tcW w:type="dxa" w:w="4464"/>
            <w:vAlign w:val="top"/>
            <w:tcMar>
              <w:top w:w="80" w:type="dxa"/>
              <w:start w:w="95" w:type="dxa"/>
              <w:bottom w:w="80" w:type="dxa"/>
              <w:end w:w="95" w:type="dxa"/>
            </w:tcMar>
            <w:shd w:fill="F4F6F8"/>
          </w:tcPr>
          <w:p>
            <w:pPr>
              <w:spacing w:after="0"/>
            </w:pPr>
            <w:r>
              <w:rPr>
                <w:sz w:val="17"/>
              </w:rPr>
              <w:t>Assigned by an occupational-safety/e-waste expert using a written annotation guide.</w:t>
            </w:r>
          </w:p>
        </w:tc>
      </w:tr>
      <w:tr>
        <w:trPr>
          <w:cantSplit/>
        </w:trPr>
        <w:tc>
          <w:tcPr>
            <w:tcW w:type="dxa" w:w="1872"/>
            <w:vAlign w:val="top"/>
            <w:tcMar>
              <w:top w:w="80" w:type="dxa"/>
              <w:start w:w="95" w:type="dxa"/>
              <w:bottom w:w="80" w:type="dxa"/>
              <w:end w:w="95" w:type="dxa"/>
            </w:tcMar>
          </w:tcPr>
          <w:p>
            <w:pPr>
              <w:spacing w:after="0"/>
            </w:pPr>
            <w:r>
              <w:rPr>
                <w:sz w:val="17"/>
              </w:rPr>
              <w:t>Language/usability set</w:t>
            </w:r>
          </w:p>
        </w:tc>
        <w:tc>
          <w:tcPr>
            <w:tcW w:type="dxa" w:w="3168"/>
            <w:vAlign w:val="top"/>
            <w:tcMar>
              <w:top w:w="80" w:type="dxa"/>
              <w:start w:w="95" w:type="dxa"/>
              <w:bottom w:w="80" w:type="dxa"/>
              <w:end w:w="95" w:type="dxa"/>
            </w:tcMar>
          </w:tcPr>
          <w:p>
            <w:pPr>
              <w:spacing w:after="0"/>
            </w:pPr>
            <w:r>
              <w:rPr>
                <w:sz w:val="17"/>
              </w:rPr>
              <w:t>Marathi and Hindi instructions with comprehension labels.</w:t>
            </w:r>
          </w:p>
        </w:tc>
        <w:tc>
          <w:tcPr>
            <w:tcW w:type="dxa" w:w="4464"/>
            <w:vAlign w:val="top"/>
            <w:tcMar>
              <w:top w:w="80" w:type="dxa"/>
              <w:start w:w="95" w:type="dxa"/>
              <w:bottom w:w="80" w:type="dxa"/>
              <w:end w:w="95" w:type="dxa"/>
            </w:tcMar>
          </w:tcPr>
          <w:p>
            <w:pPr>
              <w:spacing w:after="0"/>
            </w:pPr>
            <w:r>
              <w:rPr>
                <w:sz w:val="17"/>
              </w:rPr>
              <w:t>Co-design short phrases and icons with workers or community organisations.</w:t>
            </w:r>
          </w:p>
        </w:tc>
      </w:tr>
    </w:tbl>
    <w:p>
      <w:pPr>
        <w:spacing w:after="0"/>
      </w:pPr>
    </w:p>
    <w:tbl>
      <w:tblPr>
        <w:tblW w:type="auto" w:w="0"/>
        <w:jc w:val="center"/>
        <w:tblLayout w:type="autofit"/>
        <w:tblLook w:firstColumn="1" w:firstRow="1" w:lastColumn="0" w:lastRow="0" w:noHBand="0" w:noVBand="1" w:val="04A0"/>
      </w:tblPr>
      <w:tblGrid>
        <w:gridCol w:w="9922"/>
      </w:tblGrid>
      <w:tr>
        <w:trPr>
          <w:cantSplit/>
        </w:trPr>
        <w:tc>
          <w:tcPr>
            <w:tcW w:type="dxa" w:w="9922"/>
            <w:shd w:fill="EAF6F7"/>
            <w:tcMar>
              <w:top w:w="140" w:type="dxa"/>
              <w:start w:w="170" w:type="dxa"/>
              <w:bottom w:w="140" w:type="dxa"/>
              <w:end w:w="170" w:type="dxa"/>
            </w:tcMar>
          </w:tcPr>
          <w:p>
            <w:pPr>
              <w:keepLines/>
            </w:pPr>
            <w:r>
              <w:rPr>
                <w:b/>
              </w:rPr>
              <w:t xml:space="preserve">Most important dataset contribution: </w:t>
            </w:r>
            <w:r>
              <w:t>A public “E-Waste Hazard-Action” benchmark containing object labels, visible-condition labels, context, safe-action class and expert confidence. Without this new annotation layer, the project is mainly an integration project.</w:t>
            </w:r>
          </w:p>
        </w:tc>
      </w:tr>
    </w:tbl>
    <w:p>
      <w:pPr>
        <w:spacing w:after="0"/>
      </w:pPr>
    </w:p>
    <w:p>
      <w:pPr>
        <w:pStyle w:val="Heading1"/>
      </w:pPr>
      <w:r>
        <w:t>8. Training and evaluation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304"/>
            <w:shd w:fill="17324D"/>
            <w:tcMar>
              <w:top w:w="90" w:type="dxa"/>
              <w:start w:w="100" w:type="dxa"/>
              <w:bottom w:w="90" w:type="dxa"/>
              <w:end w:w="100" w:type="dxa"/>
            </w:tcMar>
          </w:tcPr>
          <w:p>
            <w:pPr>
              <w:jc w:val="center"/>
            </w:pPr>
            <w:r>
              <w:rPr>
                <w:b/>
                <w:color w:val="FFFFFF"/>
                <w:sz w:val="17"/>
              </w:rPr>
              <w:t>Research question</w:t>
            </w:r>
          </w:p>
        </w:tc>
        <w:tc>
          <w:tcPr>
            <w:tcW w:type="dxa" w:w="4608"/>
            <w:shd w:fill="17324D"/>
            <w:tcMar>
              <w:top w:w="90" w:type="dxa"/>
              <w:start w:w="100" w:type="dxa"/>
              <w:bottom w:w="90" w:type="dxa"/>
              <w:end w:w="100" w:type="dxa"/>
            </w:tcMar>
          </w:tcPr>
          <w:p>
            <w:pPr>
              <w:jc w:val="center"/>
            </w:pPr>
            <w:r>
              <w:rPr>
                <w:b/>
                <w:color w:val="FFFFFF"/>
                <w:sz w:val="17"/>
              </w:rPr>
              <w:t>Experiment</w:t>
            </w:r>
          </w:p>
        </w:tc>
        <w:tc>
          <w:tcPr>
            <w:tcW w:type="dxa" w:w="2592"/>
            <w:shd w:fill="17324D"/>
            <w:tcMar>
              <w:top w:w="90" w:type="dxa"/>
              <w:start w:w="100" w:type="dxa"/>
              <w:bottom w:w="90" w:type="dxa"/>
              <w:end w:w="100" w:type="dxa"/>
            </w:tcMar>
          </w:tcPr>
          <w:p>
            <w:pPr>
              <w:jc w:val="center"/>
            </w:pPr>
            <w:r>
              <w:rPr>
                <w:b/>
                <w:color w:val="FFFFFF"/>
                <w:sz w:val="17"/>
              </w:rPr>
              <w:t>Main metric</w:t>
            </w:r>
          </w:p>
        </w:tc>
      </w:tr>
      <w:tr>
        <w:trPr>
          <w:cantSplit/>
        </w:trPr>
        <w:tc>
          <w:tcPr>
            <w:tcW w:type="dxa" w:w="2304"/>
            <w:vAlign w:val="top"/>
            <w:tcMar>
              <w:top w:w="80" w:type="dxa"/>
              <w:start w:w="95" w:type="dxa"/>
              <w:bottom w:w="80" w:type="dxa"/>
              <w:end w:w="95" w:type="dxa"/>
            </w:tcMar>
          </w:tcPr>
          <w:p>
            <w:pPr>
              <w:spacing w:after="0"/>
            </w:pPr>
            <w:r>
              <w:rPr>
                <w:sz w:val="17"/>
              </w:rPr>
              <w:t>Does context improve safety?</w:t>
            </w:r>
          </w:p>
        </w:tc>
        <w:tc>
          <w:tcPr>
            <w:tcW w:type="dxa" w:w="4608"/>
            <w:vAlign w:val="top"/>
            <w:tcMar>
              <w:top w:w="80" w:type="dxa"/>
              <w:start w:w="95" w:type="dxa"/>
              <w:bottom w:w="80" w:type="dxa"/>
              <w:end w:w="95" w:type="dxa"/>
            </w:tcMar>
          </w:tcPr>
          <w:p>
            <w:pPr>
              <w:spacing w:after="0"/>
            </w:pPr>
            <w:r>
              <w:rPr>
                <w:sz w:val="17"/>
              </w:rPr>
              <w:t>Compare image-only prediction with image + worker-question responses.</w:t>
            </w:r>
          </w:p>
        </w:tc>
        <w:tc>
          <w:tcPr>
            <w:tcW w:type="dxa" w:w="2592"/>
            <w:vAlign w:val="top"/>
            <w:tcMar>
              <w:top w:w="80" w:type="dxa"/>
              <w:start w:w="95" w:type="dxa"/>
              <w:bottom w:w="80" w:type="dxa"/>
              <w:end w:w="95" w:type="dxa"/>
            </w:tcMar>
          </w:tcPr>
          <w:p>
            <w:pPr>
              <w:spacing w:after="0"/>
            </w:pPr>
            <w:r>
              <w:rPr>
                <w:sz w:val="17"/>
              </w:rPr>
              <w:t>Macro-F1 and false-safe rate</w:t>
            </w:r>
          </w:p>
        </w:tc>
      </w:tr>
      <w:tr>
        <w:trPr>
          <w:cantSplit/>
        </w:trPr>
        <w:tc>
          <w:tcPr>
            <w:tcW w:type="dxa" w:w="2304"/>
            <w:vAlign w:val="top"/>
            <w:tcMar>
              <w:top w:w="80" w:type="dxa"/>
              <w:start w:w="95" w:type="dxa"/>
              <w:bottom w:w="80" w:type="dxa"/>
              <w:end w:w="95" w:type="dxa"/>
            </w:tcMar>
            <w:shd w:fill="F4F6F8"/>
          </w:tcPr>
          <w:p>
            <w:pPr>
              <w:spacing w:after="0"/>
            </w:pPr>
            <w:r>
              <w:rPr>
                <w:sz w:val="17"/>
              </w:rPr>
              <w:t>Can uncertainty prevent dangerous errors?</w:t>
            </w:r>
          </w:p>
        </w:tc>
        <w:tc>
          <w:tcPr>
            <w:tcW w:type="dxa" w:w="4608"/>
            <w:vAlign w:val="top"/>
            <w:tcMar>
              <w:top w:w="80" w:type="dxa"/>
              <w:start w:w="95" w:type="dxa"/>
              <w:bottom w:w="80" w:type="dxa"/>
              <w:end w:w="95" w:type="dxa"/>
            </w:tcMar>
            <w:shd w:fill="F4F6F8"/>
          </w:tcPr>
          <w:p>
            <w:pPr>
              <w:spacing w:after="0"/>
            </w:pPr>
            <w:r>
              <w:rPr>
                <w:sz w:val="17"/>
              </w:rPr>
              <w:t>Compare raw confidence, temperature scaling/isotonic calibration and abstention.</w:t>
            </w:r>
          </w:p>
        </w:tc>
        <w:tc>
          <w:tcPr>
            <w:tcW w:type="dxa" w:w="2592"/>
            <w:vAlign w:val="top"/>
            <w:tcMar>
              <w:top w:w="80" w:type="dxa"/>
              <w:start w:w="95" w:type="dxa"/>
              <w:bottom w:w="80" w:type="dxa"/>
              <w:end w:w="95" w:type="dxa"/>
            </w:tcMar>
            <w:shd w:fill="F4F6F8"/>
          </w:tcPr>
          <w:p>
            <w:pPr>
              <w:spacing w:after="0"/>
            </w:pPr>
            <w:r>
              <w:rPr>
                <w:sz w:val="17"/>
              </w:rPr>
              <w:t>Expected Calibration Error; risk-coverage curve</w:t>
            </w:r>
          </w:p>
        </w:tc>
      </w:tr>
      <w:tr>
        <w:trPr>
          <w:cantSplit/>
        </w:trPr>
        <w:tc>
          <w:tcPr>
            <w:tcW w:type="dxa" w:w="2304"/>
            <w:vAlign w:val="top"/>
            <w:tcMar>
              <w:top w:w="80" w:type="dxa"/>
              <w:start w:w="95" w:type="dxa"/>
              <w:bottom w:w="80" w:type="dxa"/>
              <w:end w:w="95" w:type="dxa"/>
            </w:tcMar>
          </w:tcPr>
          <w:p>
            <w:pPr>
              <w:spacing w:after="0"/>
            </w:pPr>
            <w:r>
              <w:rPr>
                <w:sz w:val="17"/>
              </w:rPr>
              <w:t>Does verified RAG improve guidance?</w:t>
            </w:r>
          </w:p>
        </w:tc>
        <w:tc>
          <w:tcPr>
            <w:tcW w:type="dxa" w:w="4608"/>
            <w:vAlign w:val="top"/>
            <w:tcMar>
              <w:top w:w="80" w:type="dxa"/>
              <w:start w:w="95" w:type="dxa"/>
              <w:bottom w:w="80" w:type="dxa"/>
              <w:end w:w="95" w:type="dxa"/>
            </w:tcMar>
          </w:tcPr>
          <w:p>
            <w:pPr>
              <w:spacing w:after="0"/>
            </w:pPr>
            <w:r>
              <w:rPr>
                <w:sz w:val="17"/>
              </w:rPr>
              <w:t>Compare generic LLM, RAG-only and RAG + safety verifier.</w:t>
            </w:r>
          </w:p>
        </w:tc>
        <w:tc>
          <w:tcPr>
            <w:tcW w:type="dxa" w:w="2592"/>
            <w:vAlign w:val="top"/>
            <w:tcMar>
              <w:top w:w="80" w:type="dxa"/>
              <w:start w:w="95" w:type="dxa"/>
              <w:bottom w:w="80" w:type="dxa"/>
              <w:end w:w="95" w:type="dxa"/>
            </w:tcMar>
          </w:tcPr>
          <w:p>
            <w:pPr>
              <w:spacing w:after="0"/>
            </w:pPr>
            <w:r>
              <w:rPr>
                <w:sz w:val="17"/>
              </w:rPr>
              <w:t>Unsupported-instruction rate judged by experts</w:t>
            </w:r>
          </w:p>
        </w:tc>
      </w:tr>
      <w:tr>
        <w:trPr>
          <w:cantSplit/>
        </w:trPr>
        <w:tc>
          <w:tcPr>
            <w:tcW w:type="dxa" w:w="2304"/>
            <w:vAlign w:val="top"/>
            <w:tcMar>
              <w:top w:w="80" w:type="dxa"/>
              <w:start w:w="95" w:type="dxa"/>
              <w:bottom w:w="80" w:type="dxa"/>
              <w:end w:w="95" w:type="dxa"/>
            </w:tcMar>
            <w:shd w:fill="F4F6F8"/>
          </w:tcPr>
          <w:p>
            <w:pPr>
              <w:spacing w:after="0"/>
            </w:pPr>
            <w:r>
              <w:rPr>
                <w:sz w:val="17"/>
              </w:rPr>
              <w:t>Can it run in the field?</w:t>
            </w:r>
          </w:p>
        </w:tc>
        <w:tc>
          <w:tcPr>
            <w:tcW w:type="dxa" w:w="4608"/>
            <w:vAlign w:val="top"/>
            <w:tcMar>
              <w:top w:w="80" w:type="dxa"/>
              <w:start w:w="95" w:type="dxa"/>
              <w:bottom w:w="80" w:type="dxa"/>
              <w:end w:w="95" w:type="dxa"/>
            </w:tcMar>
            <w:shd w:fill="F4F6F8"/>
          </w:tcPr>
          <w:p>
            <w:pPr>
              <w:spacing w:after="0"/>
            </w:pPr>
            <w:r>
              <w:rPr>
                <w:sz w:val="17"/>
              </w:rPr>
              <w:t>Test lightweight and quantised models on ordinary Android phones.</w:t>
            </w:r>
          </w:p>
        </w:tc>
        <w:tc>
          <w:tcPr>
            <w:tcW w:type="dxa" w:w="2592"/>
            <w:vAlign w:val="top"/>
            <w:tcMar>
              <w:top w:w="80" w:type="dxa"/>
              <w:start w:w="95" w:type="dxa"/>
              <w:bottom w:w="80" w:type="dxa"/>
              <w:end w:w="95" w:type="dxa"/>
            </w:tcMar>
            <w:shd w:fill="F4F6F8"/>
          </w:tcPr>
          <w:p>
            <w:pPr>
              <w:spacing w:after="0"/>
            </w:pPr>
            <w:r>
              <w:rPr>
                <w:sz w:val="17"/>
              </w:rPr>
              <w:t>Latency, model size, offline completion rate</w:t>
            </w:r>
          </w:p>
        </w:tc>
      </w:tr>
      <w:tr>
        <w:trPr>
          <w:cantSplit/>
        </w:trPr>
        <w:tc>
          <w:tcPr>
            <w:tcW w:type="dxa" w:w="2304"/>
            <w:vAlign w:val="top"/>
            <w:tcMar>
              <w:top w:w="80" w:type="dxa"/>
              <w:start w:w="95" w:type="dxa"/>
              <w:bottom w:w="80" w:type="dxa"/>
              <w:end w:w="95" w:type="dxa"/>
            </w:tcMar>
          </w:tcPr>
          <w:p>
            <w:pPr>
              <w:spacing w:after="0"/>
            </w:pPr>
            <w:r>
              <w:rPr>
                <w:sz w:val="17"/>
              </w:rPr>
              <w:t>Is the interface understandable?</w:t>
            </w:r>
          </w:p>
        </w:tc>
        <w:tc>
          <w:tcPr>
            <w:tcW w:type="dxa" w:w="4608"/>
            <w:vAlign w:val="top"/>
            <w:tcMar>
              <w:top w:w="80" w:type="dxa"/>
              <w:start w:w="95" w:type="dxa"/>
              <w:bottom w:w="80" w:type="dxa"/>
              <w:end w:w="95" w:type="dxa"/>
            </w:tcMar>
          </w:tcPr>
          <w:p>
            <w:pPr>
              <w:spacing w:after="0"/>
            </w:pPr>
            <w:r>
              <w:rPr>
                <w:sz w:val="17"/>
              </w:rPr>
              <w:t>Small usability study with workers/collectors and safety trainers.</w:t>
            </w:r>
          </w:p>
        </w:tc>
        <w:tc>
          <w:tcPr>
            <w:tcW w:type="dxa" w:w="2592"/>
            <w:vAlign w:val="top"/>
            <w:tcMar>
              <w:top w:w="80" w:type="dxa"/>
              <w:start w:w="95" w:type="dxa"/>
              <w:bottom w:w="80" w:type="dxa"/>
              <w:end w:w="95" w:type="dxa"/>
            </w:tcMar>
          </w:tcPr>
          <w:p>
            <w:pPr>
              <w:spacing w:after="0"/>
            </w:pPr>
            <w:r>
              <w:rPr>
                <w:sz w:val="17"/>
              </w:rPr>
              <w:t>Correct action selection, task completion, comprehension score</w:t>
            </w:r>
          </w:p>
        </w:tc>
      </w:tr>
    </w:tbl>
    <w:p>
      <w:pPr>
        <w:spacing w:after="0"/>
      </w:pPr>
    </w:p>
    <w:p>
      <w:r>
        <w:t>The primary safety metric should be the false-safe rate: how often a genuinely dangerous item is incorrectly presented as safe. Overall accuracy alone is not enough.</w:t>
      </w:r>
    </w:p>
    <w:p>
      <w:pPr>
        <w:pStyle w:val="Heading1"/>
      </w:pPr>
      <w:r>
        <w:t>9. Features to build</w:t>
      </w:r>
    </w:p>
    <w:p>
      <w:pPr>
        <w:pStyle w:val="Heading2"/>
      </w:pPr>
      <w:r>
        <w:t>Must-ship MVP</w:t>
      </w:r>
    </w:p>
    <w:p>
      <w:pPr>
        <w:pStyle w:val="ListBullet"/>
        <w:spacing w:after="40"/>
      </w:pPr>
      <w:r>
        <w:t>Photo-guided scan and five to seven context questions.</w:t>
      </w:r>
    </w:p>
    <w:p>
      <w:pPr>
        <w:pStyle w:val="ListBullet"/>
        <w:spacing w:after="40"/>
      </w:pPr>
      <w:r>
        <w:t>Detection of the selected item types and visible hazard cues.</w:t>
      </w:r>
    </w:p>
    <w:p>
      <w:pPr>
        <w:pStyle w:val="ListBullet"/>
        <w:spacing w:after="40"/>
      </w:pPr>
      <w:r>
        <w:t>Green / Amber / Red triage with confidence and clear reason.</w:t>
      </w:r>
    </w:p>
    <w:p>
      <w:pPr>
        <w:pStyle w:val="ListBullet"/>
        <w:spacing w:after="40"/>
      </w:pPr>
      <w:r>
        <w:t>Marathi, Hindi and English text plus audio.</w:t>
      </w:r>
    </w:p>
    <w:p>
      <w:pPr>
        <w:pStyle w:val="ListBullet"/>
        <w:spacing w:after="40"/>
      </w:pPr>
      <w:r>
        <w:t>Verified safety guidance limited to high-level handling, isolation and escalation.</w:t>
      </w:r>
    </w:p>
    <w:p>
      <w:pPr>
        <w:pStyle w:val="ListBullet"/>
        <w:spacing w:after="40"/>
      </w:pPr>
      <w:r>
        <w:t>Pune-area authorised facility / collection routing using MPCB and PMC information.</w:t>
      </w:r>
    </w:p>
    <w:p>
      <w:pPr>
        <w:pStyle w:val="ListBullet"/>
        <w:spacing w:after="40"/>
      </w:pPr>
      <w:r>
        <w:t>Supervisor dashboard for anonymised risk patterns and training needs.</w:t>
      </w:r>
    </w:p>
    <w:p>
      <w:pPr>
        <w:pStyle w:val="Heading2"/>
      </w:pPr>
      <w:r>
        <w:t>Stretch features</w:t>
      </w:r>
    </w:p>
    <w:p>
      <w:pPr>
        <w:pStyle w:val="ListBullet"/>
        <w:spacing w:after="40"/>
      </w:pPr>
      <w:r>
        <w:t>Offline edge model with delayed synchronisation.</w:t>
      </w:r>
    </w:p>
    <w:p>
      <w:pPr>
        <w:pStyle w:val="ListBullet"/>
        <w:spacing w:after="40"/>
      </w:pPr>
      <w:r>
        <w:t>OCR of manufacturer warning labels and battery chemistry.</w:t>
      </w:r>
    </w:p>
    <w:p>
      <w:pPr>
        <w:pStyle w:val="ListBullet"/>
        <w:spacing w:after="40"/>
      </w:pPr>
      <w:r>
        <w:t>Micro-learning agent that gives a 30-second lesson after each scan.</w:t>
      </w:r>
    </w:p>
    <w:p>
      <w:pPr>
        <w:pStyle w:val="ListBullet"/>
        <w:spacing w:after="40"/>
      </w:pPr>
      <w:r>
        <w:t>Worker exposure diary and PPE inventory alerts.</w:t>
      </w:r>
    </w:p>
    <w:p>
      <w:pPr>
        <w:pStyle w:val="ListBullet"/>
        <w:spacing w:after="40"/>
      </w:pPr>
      <w:r>
        <w:t>Anonymous city heat map of frequently encountered hazards.</w:t>
      </w:r>
    </w:p>
    <w:p>
      <w:pPr>
        <w:pStyle w:val="ListBullet"/>
        <w:spacing w:after="40"/>
      </w:pPr>
      <w:r>
        <w:t>Digital handover receipt when an item reaches an authorised facility.</w:t>
      </w:r>
    </w:p>
    <w:p>
      <w:pPr>
        <w:pStyle w:val="Heading1"/>
      </w:pPr>
      <w:r>
        <w:t>10. Difficulties and mitigation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944"/>
            <w:shd w:fill="17324D"/>
            <w:tcMar>
              <w:top w:w="90" w:type="dxa"/>
              <w:start w:w="100" w:type="dxa"/>
              <w:bottom w:w="90" w:type="dxa"/>
              <w:end w:w="100" w:type="dxa"/>
            </w:tcMar>
          </w:tcPr>
          <w:p>
            <w:pPr>
              <w:jc w:val="center"/>
            </w:pPr>
            <w:r>
              <w:rPr>
                <w:b/>
                <w:color w:val="FFFFFF"/>
                <w:sz w:val="17"/>
              </w:rPr>
              <w:t>Difficulty</w:t>
            </w:r>
          </w:p>
        </w:tc>
        <w:tc>
          <w:tcPr>
            <w:tcW w:type="dxa" w:w="3600"/>
            <w:shd w:fill="17324D"/>
            <w:tcMar>
              <w:top w:w="90" w:type="dxa"/>
              <w:start w:w="100" w:type="dxa"/>
              <w:bottom w:w="90" w:type="dxa"/>
              <w:end w:w="100" w:type="dxa"/>
            </w:tcMar>
          </w:tcPr>
          <w:p>
            <w:pPr>
              <w:jc w:val="center"/>
            </w:pPr>
            <w:r>
              <w:rPr>
                <w:b/>
                <w:color w:val="FFFFFF"/>
                <w:sz w:val="17"/>
              </w:rPr>
              <w:t>Why it matters</w:t>
            </w:r>
          </w:p>
        </w:tc>
        <w:tc>
          <w:tcPr>
            <w:tcW w:type="dxa" w:w="3960"/>
            <w:shd w:fill="17324D"/>
            <w:tcMar>
              <w:top w:w="90" w:type="dxa"/>
              <w:start w:w="100" w:type="dxa"/>
              <w:bottom w:w="90" w:type="dxa"/>
              <w:end w:w="100" w:type="dxa"/>
            </w:tcMar>
          </w:tcPr>
          <w:p>
            <w:pPr>
              <w:jc w:val="center"/>
            </w:pPr>
            <w:r>
              <w:rPr>
                <w:b/>
                <w:color w:val="FFFFFF"/>
                <w:sz w:val="17"/>
              </w:rPr>
              <w:t>Mitigation</w:t>
            </w:r>
          </w:p>
        </w:tc>
      </w:tr>
      <w:tr>
        <w:trPr>
          <w:cantSplit/>
        </w:trPr>
        <w:tc>
          <w:tcPr>
            <w:tcW w:type="dxa" w:w="1944"/>
            <w:vAlign w:val="top"/>
            <w:tcMar>
              <w:top w:w="80" w:type="dxa"/>
              <w:start w:w="95" w:type="dxa"/>
              <w:bottom w:w="80" w:type="dxa"/>
              <w:end w:w="95" w:type="dxa"/>
            </w:tcMar>
          </w:tcPr>
          <w:p>
            <w:pPr>
              <w:spacing w:after="0"/>
            </w:pPr>
            <w:r>
              <w:rPr>
                <w:sz w:val="17"/>
              </w:rPr>
              <w:t>Hidden hazards</w:t>
            </w:r>
          </w:p>
        </w:tc>
        <w:tc>
          <w:tcPr>
            <w:tcW w:type="dxa" w:w="3600"/>
            <w:vAlign w:val="top"/>
            <w:tcMar>
              <w:top w:w="80" w:type="dxa"/>
              <w:start w:w="95" w:type="dxa"/>
              <w:bottom w:w="80" w:type="dxa"/>
              <w:end w:w="95" w:type="dxa"/>
            </w:tcMar>
          </w:tcPr>
          <w:p>
            <w:pPr>
              <w:spacing w:after="0"/>
            </w:pPr>
            <w:r>
              <w:rPr>
                <w:sz w:val="17"/>
              </w:rPr>
              <w:t>A photo cannot reveal internal charge, chemistry or contamination.</w:t>
            </w:r>
          </w:p>
        </w:tc>
        <w:tc>
          <w:tcPr>
            <w:tcW w:type="dxa" w:w="3960"/>
            <w:vAlign w:val="top"/>
            <w:tcMar>
              <w:top w:w="80" w:type="dxa"/>
              <w:start w:w="95" w:type="dxa"/>
              <w:bottom w:w="80" w:type="dxa"/>
              <w:end w:w="95" w:type="dxa"/>
            </w:tcMar>
          </w:tcPr>
          <w:p>
            <w:pPr>
              <w:spacing w:after="0"/>
            </w:pPr>
            <w:r>
              <w:rPr>
                <w:sz w:val="17"/>
              </w:rPr>
              <w:t>Never claim full safety. Use context questions, conservative classes and abstention; focus on visible risk and routing.</w:t>
            </w:r>
          </w:p>
        </w:tc>
      </w:tr>
      <w:tr>
        <w:trPr>
          <w:cantSplit/>
        </w:trPr>
        <w:tc>
          <w:tcPr>
            <w:tcW w:type="dxa" w:w="1944"/>
            <w:vAlign w:val="top"/>
            <w:tcMar>
              <w:top w:w="80" w:type="dxa"/>
              <w:start w:w="95" w:type="dxa"/>
              <w:bottom w:w="80" w:type="dxa"/>
              <w:end w:w="95" w:type="dxa"/>
            </w:tcMar>
            <w:shd w:fill="F4F6F8"/>
          </w:tcPr>
          <w:p>
            <w:pPr>
              <w:spacing w:after="0"/>
            </w:pPr>
            <w:r>
              <w:rPr>
                <w:sz w:val="17"/>
              </w:rPr>
              <w:t>Dangerous advice</w:t>
            </w:r>
          </w:p>
        </w:tc>
        <w:tc>
          <w:tcPr>
            <w:tcW w:type="dxa" w:w="3600"/>
            <w:vAlign w:val="top"/>
            <w:tcMar>
              <w:top w:w="80" w:type="dxa"/>
              <w:start w:w="95" w:type="dxa"/>
              <w:bottom w:w="80" w:type="dxa"/>
              <w:end w:w="95" w:type="dxa"/>
            </w:tcMar>
            <w:shd w:fill="F4F6F8"/>
          </w:tcPr>
          <w:p>
            <w:pPr>
              <w:spacing w:after="0"/>
            </w:pPr>
            <w:r>
              <w:rPr>
                <w:sz w:val="17"/>
              </w:rPr>
              <w:t>An LLM may give extraction or dismantling instructions.</w:t>
            </w:r>
          </w:p>
        </w:tc>
        <w:tc>
          <w:tcPr>
            <w:tcW w:type="dxa" w:w="3960"/>
            <w:vAlign w:val="top"/>
            <w:tcMar>
              <w:top w:w="80" w:type="dxa"/>
              <w:start w:w="95" w:type="dxa"/>
              <w:bottom w:w="80" w:type="dxa"/>
              <w:end w:w="95" w:type="dxa"/>
            </w:tcMar>
            <w:shd w:fill="F4F6F8"/>
          </w:tcPr>
          <w:p>
            <w:pPr>
              <w:spacing w:after="0"/>
            </w:pPr>
            <w:r>
              <w:rPr>
                <w:sz w:val="17"/>
              </w:rPr>
              <w:t>Approved knowledge base, blocked topics, verifier agent, fixed templates for high-risk classes and expert sign-off.</w:t>
            </w:r>
          </w:p>
        </w:tc>
      </w:tr>
      <w:tr>
        <w:trPr>
          <w:cantSplit/>
        </w:trPr>
        <w:tc>
          <w:tcPr>
            <w:tcW w:type="dxa" w:w="1944"/>
            <w:vAlign w:val="top"/>
            <w:tcMar>
              <w:top w:w="80" w:type="dxa"/>
              <w:start w:w="95" w:type="dxa"/>
              <w:bottom w:w="80" w:type="dxa"/>
              <w:end w:w="95" w:type="dxa"/>
            </w:tcMar>
          </w:tcPr>
          <w:p>
            <w:pPr>
              <w:spacing w:after="0"/>
            </w:pPr>
            <w:r>
              <w:rPr>
                <w:sz w:val="17"/>
              </w:rPr>
              <w:t>No public action-labelled dataset</w:t>
            </w:r>
          </w:p>
        </w:tc>
        <w:tc>
          <w:tcPr>
            <w:tcW w:type="dxa" w:w="3600"/>
            <w:vAlign w:val="top"/>
            <w:tcMar>
              <w:top w:w="80" w:type="dxa"/>
              <w:start w:w="95" w:type="dxa"/>
              <w:bottom w:w="80" w:type="dxa"/>
              <w:end w:w="95" w:type="dxa"/>
            </w:tcMar>
          </w:tcPr>
          <w:p>
            <w:pPr>
              <w:spacing w:after="0"/>
            </w:pPr>
            <w:r>
              <w:rPr>
                <w:sz w:val="17"/>
              </w:rPr>
              <w:t>Category datasets cannot directly train the final decision.</w:t>
            </w:r>
          </w:p>
        </w:tc>
        <w:tc>
          <w:tcPr>
            <w:tcW w:type="dxa" w:w="3960"/>
            <w:vAlign w:val="top"/>
            <w:tcMar>
              <w:top w:w="80" w:type="dxa"/>
              <w:start w:w="95" w:type="dxa"/>
              <w:bottom w:w="80" w:type="dxa"/>
              <w:end w:w="95" w:type="dxa"/>
            </w:tcMar>
          </w:tcPr>
          <w:p>
            <w:pPr>
              <w:spacing w:after="0"/>
            </w:pPr>
            <w:r>
              <w:rPr>
                <w:sz w:val="17"/>
              </w:rPr>
              <w:t>Create expert-labelled hazard-action data; reduce initial scope to a manageable set of devices.</w:t>
            </w:r>
          </w:p>
        </w:tc>
      </w:tr>
      <w:tr>
        <w:trPr>
          <w:cantSplit/>
        </w:trPr>
        <w:tc>
          <w:tcPr>
            <w:tcW w:type="dxa" w:w="1944"/>
            <w:vAlign w:val="top"/>
            <w:tcMar>
              <w:top w:w="80" w:type="dxa"/>
              <w:start w:w="95" w:type="dxa"/>
              <w:bottom w:w="80" w:type="dxa"/>
              <w:end w:w="95" w:type="dxa"/>
            </w:tcMar>
            <w:shd w:fill="F4F6F8"/>
          </w:tcPr>
          <w:p>
            <w:pPr>
              <w:spacing w:after="0"/>
            </w:pPr>
            <w:r>
              <w:rPr>
                <w:sz w:val="17"/>
              </w:rPr>
              <w:t>Field image quality</w:t>
            </w:r>
          </w:p>
        </w:tc>
        <w:tc>
          <w:tcPr>
            <w:tcW w:type="dxa" w:w="3600"/>
            <w:vAlign w:val="top"/>
            <w:tcMar>
              <w:top w:w="80" w:type="dxa"/>
              <w:start w:w="95" w:type="dxa"/>
              <w:bottom w:w="80" w:type="dxa"/>
              <w:end w:w="95" w:type="dxa"/>
            </w:tcMar>
            <w:shd w:fill="F4F6F8"/>
          </w:tcPr>
          <w:p>
            <w:pPr>
              <w:spacing w:after="0"/>
            </w:pPr>
            <w:r>
              <w:rPr>
                <w:sz w:val="17"/>
              </w:rPr>
              <w:t>Clutter, poor light and damaged items reduce model accuracy.</w:t>
            </w:r>
          </w:p>
        </w:tc>
        <w:tc>
          <w:tcPr>
            <w:tcW w:type="dxa" w:w="3960"/>
            <w:vAlign w:val="top"/>
            <w:tcMar>
              <w:top w:w="80" w:type="dxa"/>
              <w:start w:w="95" w:type="dxa"/>
              <w:bottom w:w="80" w:type="dxa"/>
              <w:end w:w="95" w:type="dxa"/>
            </w:tcMar>
            <w:shd w:fill="F4F6F8"/>
          </w:tcPr>
          <w:p>
            <w:pPr>
              <w:spacing w:after="0"/>
            </w:pPr>
            <w:r>
              <w:rPr>
                <w:sz w:val="17"/>
              </w:rPr>
              <w:t>Collect realistic images, use augmentation, capture guidance and allow multiple views.</w:t>
            </w:r>
          </w:p>
        </w:tc>
      </w:tr>
      <w:tr>
        <w:trPr>
          <w:cantSplit/>
        </w:trPr>
        <w:tc>
          <w:tcPr>
            <w:tcW w:type="dxa" w:w="1944"/>
            <w:vAlign w:val="top"/>
            <w:tcMar>
              <w:top w:w="80" w:type="dxa"/>
              <w:start w:w="95" w:type="dxa"/>
              <w:bottom w:w="80" w:type="dxa"/>
              <w:end w:w="95" w:type="dxa"/>
            </w:tcMar>
          </w:tcPr>
          <w:p>
            <w:pPr>
              <w:spacing w:after="0"/>
            </w:pPr>
            <w:r>
              <w:rPr>
                <w:sz w:val="17"/>
              </w:rPr>
              <w:t>Worker trust and literacy</w:t>
            </w:r>
          </w:p>
        </w:tc>
        <w:tc>
          <w:tcPr>
            <w:tcW w:type="dxa" w:w="3600"/>
            <w:vAlign w:val="top"/>
            <w:tcMar>
              <w:top w:w="80" w:type="dxa"/>
              <w:start w:w="95" w:type="dxa"/>
              <w:bottom w:w="80" w:type="dxa"/>
              <w:end w:w="95" w:type="dxa"/>
            </w:tcMar>
          </w:tcPr>
          <w:p>
            <w:pPr>
              <w:spacing w:after="0"/>
            </w:pPr>
            <w:r>
              <w:rPr>
                <w:sz w:val="17"/>
              </w:rPr>
              <w:t>Users may ignore long warnings or fear loss of income.</w:t>
            </w:r>
          </w:p>
        </w:tc>
        <w:tc>
          <w:tcPr>
            <w:tcW w:type="dxa" w:w="3960"/>
            <w:vAlign w:val="top"/>
            <w:tcMar>
              <w:top w:w="80" w:type="dxa"/>
              <w:start w:w="95" w:type="dxa"/>
              <w:bottom w:w="80" w:type="dxa"/>
              <w:end w:w="95" w:type="dxa"/>
            </w:tcMar>
          </w:tcPr>
          <w:p>
            <w:pPr>
              <w:spacing w:after="0"/>
            </w:pPr>
            <w:r>
              <w:rPr>
                <w:sz w:val="17"/>
              </w:rPr>
              <w:t>Co-design icons/audio, explain economic value of safe routing, and partner with worker organisations.</w:t>
            </w:r>
          </w:p>
        </w:tc>
      </w:tr>
      <w:tr>
        <w:trPr>
          <w:cantSplit/>
        </w:trPr>
        <w:tc>
          <w:tcPr>
            <w:tcW w:type="dxa" w:w="1944"/>
            <w:vAlign w:val="top"/>
            <w:tcMar>
              <w:top w:w="80" w:type="dxa"/>
              <w:start w:w="95" w:type="dxa"/>
              <w:bottom w:w="80" w:type="dxa"/>
              <w:end w:w="95" w:type="dxa"/>
            </w:tcMar>
            <w:shd w:fill="F4F6F8"/>
          </w:tcPr>
          <w:p>
            <w:pPr>
              <w:spacing w:after="0"/>
            </w:pPr>
            <w:r>
              <w:rPr>
                <w:sz w:val="17"/>
              </w:rPr>
              <w:t>Recycler data changes</w:t>
            </w:r>
          </w:p>
        </w:tc>
        <w:tc>
          <w:tcPr>
            <w:tcW w:type="dxa" w:w="3600"/>
            <w:vAlign w:val="top"/>
            <w:tcMar>
              <w:top w:w="80" w:type="dxa"/>
              <w:start w:w="95" w:type="dxa"/>
              <w:bottom w:w="80" w:type="dxa"/>
              <w:end w:w="95" w:type="dxa"/>
            </w:tcMar>
            <w:shd w:fill="F4F6F8"/>
          </w:tcPr>
          <w:p>
            <w:pPr>
              <w:spacing w:after="0"/>
            </w:pPr>
            <w:r>
              <w:rPr>
                <w:sz w:val="17"/>
              </w:rPr>
              <w:t>Authorisations and service details can expire.</w:t>
            </w:r>
          </w:p>
        </w:tc>
        <w:tc>
          <w:tcPr>
            <w:tcW w:type="dxa" w:w="3960"/>
            <w:vAlign w:val="top"/>
            <w:tcMar>
              <w:top w:w="80" w:type="dxa"/>
              <w:start w:w="95" w:type="dxa"/>
              <w:bottom w:w="80" w:type="dxa"/>
              <w:end w:w="95" w:type="dxa"/>
            </w:tcMar>
            <w:shd w:fill="F4F6F8"/>
          </w:tcPr>
          <w:p>
            <w:pPr>
              <w:spacing w:after="0"/>
            </w:pPr>
            <w:r>
              <w:rPr>
                <w:sz w:val="17"/>
              </w:rPr>
              <w:t>Use a versioned local database, show “last verified” date and provide manual admin update.</w:t>
            </w:r>
          </w:p>
        </w:tc>
      </w:tr>
      <w:tr>
        <w:trPr>
          <w:cantSplit/>
        </w:trPr>
        <w:tc>
          <w:tcPr>
            <w:tcW w:type="dxa" w:w="1944"/>
            <w:vAlign w:val="top"/>
            <w:tcMar>
              <w:top w:w="80" w:type="dxa"/>
              <w:start w:w="95" w:type="dxa"/>
              <w:bottom w:w="80" w:type="dxa"/>
              <w:end w:w="95" w:type="dxa"/>
            </w:tcMar>
          </w:tcPr>
          <w:p>
            <w:pPr>
              <w:spacing w:after="0"/>
            </w:pPr>
            <w:r>
              <w:rPr>
                <w:sz w:val="17"/>
              </w:rPr>
              <w:t>Risk of normalising unsafe/child labour</w:t>
            </w:r>
          </w:p>
        </w:tc>
        <w:tc>
          <w:tcPr>
            <w:tcW w:type="dxa" w:w="3600"/>
            <w:vAlign w:val="top"/>
            <w:tcMar>
              <w:top w:w="80" w:type="dxa"/>
              <w:start w:w="95" w:type="dxa"/>
              <w:bottom w:w="80" w:type="dxa"/>
              <w:end w:w="95" w:type="dxa"/>
            </w:tcMar>
          </w:tcPr>
          <w:p>
            <w:pPr>
              <w:spacing w:after="0"/>
            </w:pPr>
            <w:r>
              <w:rPr>
                <w:sz w:val="17"/>
              </w:rPr>
              <w:t>A safety app must not legitimise illegal or hazardous work.</w:t>
            </w:r>
          </w:p>
        </w:tc>
        <w:tc>
          <w:tcPr>
            <w:tcW w:type="dxa" w:w="3960"/>
            <w:vAlign w:val="top"/>
            <w:tcMar>
              <w:top w:w="80" w:type="dxa"/>
              <w:start w:w="95" w:type="dxa"/>
              <w:bottom w:w="80" w:type="dxa"/>
              <w:end w:w="95" w:type="dxa"/>
            </w:tcMar>
          </w:tcPr>
          <w:p>
            <w:pPr>
              <w:spacing w:after="0"/>
            </w:pPr>
            <w:r>
              <w:rPr>
                <w:sz w:val="17"/>
              </w:rPr>
              <w:t>Adult-user pilot, child-protection escalation, and explicit goal of moving hazardous tasks to trained formal facilities.</w:t>
            </w:r>
          </w:p>
        </w:tc>
      </w:tr>
      <w:tr>
        <w:trPr>
          <w:cantSplit/>
        </w:trPr>
        <w:tc>
          <w:tcPr>
            <w:tcW w:type="dxa" w:w="1944"/>
            <w:vAlign w:val="top"/>
            <w:tcMar>
              <w:top w:w="80" w:type="dxa"/>
              <w:start w:w="95" w:type="dxa"/>
              <w:bottom w:w="80" w:type="dxa"/>
              <w:end w:w="95" w:type="dxa"/>
            </w:tcMar>
            <w:shd w:fill="F4F6F8"/>
          </w:tcPr>
          <w:p>
            <w:pPr>
              <w:spacing w:after="0"/>
            </w:pPr>
            <w:r>
              <w:rPr>
                <w:sz w:val="17"/>
              </w:rPr>
              <w:t>Limited expert access</w:t>
            </w:r>
          </w:p>
        </w:tc>
        <w:tc>
          <w:tcPr>
            <w:tcW w:type="dxa" w:w="3600"/>
            <w:vAlign w:val="top"/>
            <w:tcMar>
              <w:top w:w="80" w:type="dxa"/>
              <w:start w:w="95" w:type="dxa"/>
              <w:bottom w:w="80" w:type="dxa"/>
              <w:end w:w="95" w:type="dxa"/>
            </w:tcMar>
            <w:shd w:fill="F4F6F8"/>
          </w:tcPr>
          <w:p>
            <w:pPr>
              <w:spacing w:after="0"/>
            </w:pPr>
            <w:r>
              <w:rPr>
                <w:sz w:val="17"/>
              </w:rPr>
              <w:t>Safety labels require domain expertise.</w:t>
            </w:r>
          </w:p>
        </w:tc>
        <w:tc>
          <w:tcPr>
            <w:tcW w:type="dxa" w:w="3960"/>
            <w:vAlign w:val="top"/>
            <w:tcMar>
              <w:top w:w="80" w:type="dxa"/>
              <w:start w:w="95" w:type="dxa"/>
              <w:bottom w:w="80" w:type="dxa"/>
              <w:end w:w="95" w:type="dxa"/>
            </w:tcMar>
            <w:shd w:fill="F4F6F8"/>
          </w:tcPr>
          <w:p>
            <w:pPr>
              <w:spacing w:after="0"/>
            </w:pPr>
            <w:r>
              <w:rPr>
                <w:sz w:val="17"/>
              </w:rPr>
              <w:t>Secure one recycler/safety mentor before full build; otherwise narrow to a non-deployment research prototype.</w:t>
            </w:r>
          </w:p>
        </w:tc>
      </w:tr>
    </w:tbl>
    <w:p>
      <w:pPr>
        <w:spacing w:after="0"/>
      </w:pPr>
    </w:p>
    <w:p>
      <w:pPr>
        <w:pStyle w:val="Heading1"/>
      </w:pPr>
      <w:r>
        <w:t>11. Six-month execution plan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864"/>
            <w:shd w:fill="17324D"/>
            <w:tcMar>
              <w:top w:w="90" w:type="dxa"/>
              <w:start w:w="100" w:type="dxa"/>
              <w:bottom w:w="90" w:type="dxa"/>
              <w:end w:w="100" w:type="dxa"/>
            </w:tcMar>
          </w:tcPr>
          <w:p>
            <w:pPr>
              <w:jc w:val="center"/>
            </w:pPr>
            <w:r>
              <w:rPr>
                <w:b/>
                <w:color w:val="FFFFFF"/>
                <w:sz w:val="17"/>
              </w:rPr>
              <w:t>Month</w:t>
            </w:r>
          </w:p>
        </w:tc>
        <w:tc>
          <w:tcPr>
            <w:tcW w:type="dxa" w:w="5903"/>
            <w:shd w:fill="17324D"/>
            <w:tcMar>
              <w:top w:w="90" w:type="dxa"/>
              <w:start w:w="100" w:type="dxa"/>
              <w:bottom w:w="90" w:type="dxa"/>
              <w:end w:w="100" w:type="dxa"/>
            </w:tcMar>
          </w:tcPr>
          <w:p>
            <w:pPr>
              <w:jc w:val="center"/>
            </w:pPr>
            <w:r>
              <w:rPr>
                <w:b/>
                <w:color w:val="FFFFFF"/>
                <w:sz w:val="17"/>
              </w:rPr>
              <w:t>Work</w:t>
            </w:r>
          </w:p>
        </w:tc>
        <w:tc>
          <w:tcPr>
            <w:tcW w:type="dxa" w:w="2736"/>
            <w:shd w:fill="17324D"/>
            <w:tcMar>
              <w:top w:w="90" w:type="dxa"/>
              <w:start w:w="100" w:type="dxa"/>
              <w:bottom w:w="90" w:type="dxa"/>
              <w:end w:w="100" w:type="dxa"/>
            </w:tcMar>
          </w:tcPr>
          <w:p>
            <w:pPr>
              <w:jc w:val="center"/>
            </w:pPr>
            <w:r>
              <w:rPr>
                <w:b/>
                <w:color w:val="FFFFFF"/>
                <w:sz w:val="17"/>
              </w:rPr>
              <w:t>Deliverable</w:t>
            </w:r>
          </w:p>
        </w:tc>
      </w:tr>
      <w:tr>
        <w:trPr>
          <w:cantSplit/>
        </w:trPr>
        <w:tc>
          <w:tcPr>
            <w:tcW w:type="dxa" w:w="864"/>
            <w:vAlign w:val="top"/>
            <w:tcMar>
              <w:top w:w="80" w:type="dxa"/>
              <w:start w:w="95" w:type="dxa"/>
              <w:bottom w:w="80" w:type="dxa"/>
              <w:end w:w="95" w:type="dxa"/>
            </w:tcMar>
          </w:tcPr>
          <w:p>
            <w:pPr>
              <w:spacing w:after="0"/>
            </w:pPr>
            <w:r>
              <w:rPr>
                <w:sz w:val="17"/>
              </w:rPr>
              <w:t>1</w:t>
            </w:r>
          </w:p>
        </w:tc>
        <w:tc>
          <w:tcPr>
            <w:tcW w:type="dxa" w:w="5903"/>
            <w:vAlign w:val="top"/>
            <w:tcMar>
              <w:top w:w="80" w:type="dxa"/>
              <w:start w:w="95" w:type="dxa"/>
              <w:bottom w:w="80" w:type="dxa"/>
              <w:end w:w="95" w:type="dxa"/>
            </w:tcMar>
          </w:tcPr>
          <w:p>
            <w:pPr>
              <w:spacing w:after="0"/>
            </w:pPr>
            <w:r>
              <w:rPr>
                <w:sz w:val="17"/>
              </w:rPr>
              <w:t>Systematic review; interviews with recycler/worker organisation; freeze 6–8 item types and annotation policy.</w:t>
            </w:r>
          </w:p>
        </w:tc>
        <w:tc>
          <w:tcPr>
            <w:tcW w:type="dxa" w:w="2736"/>
            <w:vAlign w:val="top"/>
            <w:tcMar>
              <w:top w:w="80" w:type="dxa"/>
              <w:start w:w="95" w:type="dxa"/>
              <w:bottom w:w="80" w:type="dxa"/>
              <w:end w:w="95" w:type="dxa"/>
            </w:tcMar>
          </w:tcPr>
          <w:p>
            <w:pPr>
              <w:spacing w:after="0"/>
            </w:pPr>
            <w:r>
              <w:rPr>
                <w:sz w:val="17"/>
              </w:rPr>
              <w:t>Validated problem statement, ethics plan, baseline list</w:t>
            </w:r>
          </w:p>
        </w:tc>
      </w:tr>
      <w:tr>
        <w:trPr>
          <w:cantSplit/>
        </w:trPr>
        <w:tc>
          <w:tcPr>
            <w:tcW w:type="dxa" w:w="864"/>
            <w:vAlign w:val="top"/>
            <w:tcMar>
              <w:top w:w="80" w:type="dxa"/>
              <w:start w:w="95" w:type="dxa"/>
              <w:bottom w:w="80" w:type="dxa"/>
              <w:end w:w="95" w:type="dxa"/>
            </w:tcMar>
            <w:shd w:fill="F4F6F8"/>
          </w:tcPr>
          <w:p>
            <w:pPr>
              <w:spacing w:after="0"/>
            </w:pPr>
            <w:r>
              <w:rPr>
                <w:sz w:val="17"/>
              </w:rPr>
              <w:t>2</w:t>
            </w:r>
          </w:p>
        </w:tc>
        <w:tc>
          <w:tcPr>
            <w:tcW w:type="dxa" w:w="5903"/>
            <w:vAlign w:val="top"/>
            <w:tcMar>
              <w:top w:w="80" w:type="dxa"/>
              <w:start w:w="95" w:type="dxa"/>
              <w:bottom w:w="80" w:type="dxa"/>
              <w:end w:w="95" w:type="dxa"/>
            </w:tcMar>
            <w:shd w:fill="F4F6F8"/>
          </w:tcPr>
          <w:p>
            <w:pPr>
              <w:spacing w:after="0"/>
            </w:pPr>
            <w:r>
              <w:rPr>
                <w:sz w:val="17"/>
              </w:rPr>
              <w:t>Collect/public-data cleaning; create expert hazard-action guide; annotate first 1,000 images.</w:t>
            </w:r>
          </w:p>
        </w:tc>
        <w:tc>
          <w:tcPr>
            <w:tcW w:type="dxa" w:w="2736"/>
            <w:vAlign w:val="top"/>
            <w:tcMar>
              <w:top w:w="80" w:type="dxa"/>
              <w:start w:w="95" w:type="dxa"/>
              <w:bottom w:w="80" w:type="dxa"/>
              <w:end w:w="95" w:type="dxa"/>
            </w:tcMar>
            <w:shd w:fill="F4F6F8"/>
          </w:tcPr>
          <w:p>
            <w:pPr>
              <w:spacing w:after="0"/>
            </w:pPr>
            <w:r>
              <w:rPr>
                <w:sz w:val="17"/>
              </w:rPr>
              <w:t>Dataset v1 and baseline detector</w:t>
            </w:r>
          </w:p>
        </w:tc>
      </w:tr>
      <w:tr>
        <w:trPr>
          <w:cantSplit/>
        </w:trPr>
        <w:tc>
          <w:tcPr>
            <w:tcW w:type="dxa" w:w="864"/>
            <w:vAlign w:val="top"/>
            <w:tcMar>
              <w:top w:w="80" w:type="dxa"/>
              <w:start w:w="95" w:type="dxa"/>
              <w:bottom w:w="80" w:type="dxa"/>
              <w:end w:w="95" w:type="dxa"/>
            </w:tcMar>
          </w:tcPr>
          <w:p>
            <w:pPr>
              <w:spacing w:after="0"/>
            </w:pPr>
            <w:r>
              <w:rPr>
                <w:sz w:val="17"/>
              </w:rPr>
              <w:t>3</w:t>
            </w:r>
          </w:p>
        </w:tc>
        <w:tc>
          <w:tcPr>
            <w:tcW w:type="dxa" w:w="5903"/>
            <w:vAlign w:val="top"/>
            <w:tcMar>
              <w:top w:w="80" w:type="dxa"/>
              <w:start w:w="95" w:type="dxa"/>
              <w:bottom w:w="80" w:type="dxa"/>
              <w:end w:w="95" w:type="dxa"/>
            </w:tcMar>
          </w:tcPr>
          <w:p>
            <w:pPr>
              <w:spacing w:after="0"/>
            </w:pPr>
            <w:r>
              <w:rPr>
                <w:sz w:val="17"/>
              </w:rPr>
              <w:t>Train detector, multimodal risk model and calibrator; analyse false-safe cases.</w:t>
            </w:r>
          </w:p>
        </w:tc>
        <w:tc>
          <w:tcPr>
            <w:tcW w:type="dxa" w:w="2736"/>
            <w:vAlign w:val="top"/>
            <w:tcMar>
              <w:top w:w="80" w:type="dxa"/>
              <w:start w:w="95" w:type="dxa"/>
              <w:bottom w:w="80" w:type="dxa"/>
              <w:end w:w="95" w:type="dxa"/>
            </w:tcMar>
          </w:tcPr>
          <w:p>
            <w:pPr>
              <w:spacing w:after="0"/>
            </w:pPr>
            <w:r>
              <w:rPr>
                <w:sz w:val="17"/>
              </w:rPr>
              <w:t>Model benchmarks</w:t>
            </w:r>
          </w:p>
        </w:tc>
      </w:tr>
      <w:tr>
        <w:trPr>
          <w:cantSplit/>
        </w:trPr>
        <w:tc>
          <w:tcPr>
            <w:tcW w:type="dxa" w:w="864"/>
            <w:vAlign w:val="top"/>
            <w:tcMar>
              <w:top w:w="80" w:type="dxa"/>
              <w:start w:w="95" w:type="dxa"/>
              <w:bottom w:w="80" w:type="dxa"/>
              <w:end w:w="95" w:type="dxa"/>
            </w:tcMar>
            <w:shd w:fill="F4F6F8"/>
          </w:tcPr>
          <w:p>
            <w:pPr>
              <w:spacing w:after="0"/>
            </w:pPr>
            <w:r>
              <w:rPr>
                <w:sz w:val="17"/>
              </w:rPr>
              <w:t>4</w:t>
            </w:r>
          </w:p>
        </w:tc>
        <w:tc>
          <w:tcPr>
            <w:tcW w:type="dxa" w:w="5903"/>
            <w:vAlign w:val="top"/>
            <w:tcMar>
              <w:top w:w="80" w:type="dxa"/>
              <w:start w:w="95" w:type="dxa"/>
              <w:bottom w:w="80" w:type="dxa"/>
              <w:end w:w="95" w:type="dxa"/>
            </w:tcMar>
            <w:shd w:fill="F4F6F8"/>
          </w:tcPr>
          <w:p>
            <w:pPr>
              <w:spacing w:after="0"/>
            </w:pPr>
            <w:r>
              <w:rPr>
                <w:sz w:val="17"/>
              </w:rPr>
              <w:t>Build RAG, verifier, multilingual mobile interface and local recycler database.</w:t>
            </w:r>
          </w:p>
        </w:tc>
        <w:tc>
          <w:tcPr>
            <w:tcW w:type="dxa" w:w="2736"/>
            <w:vAlign w:val="top"/>
            <w:tcMar>
              <w:top w:w="80" w:type="dxa"/>
              <w:start w:w="95" w:type="dxa"/>
              <w:bottom w:w="80" w:type="dxa"/>
              <w:end w:w="95" w:type="dxa"/>
            </w:tcMar>
            <w:shd w:fill="F4F6F8"/>
          </w:tcPr>
          <w:p>
            <w:pPr>
              <w:spacing w:after="0"/>
            </w:pPr>
            <w:r>
              <w:rPr>
                <w:sz w:val="17"/>
              </w:rPr>
              <w:t>Integrated MVP</w:t>
            </w:r>
          </w:p>
        </w:tc>
      </w:tr>
      <w:tr>
        <w:trPr>
          <w:cantSplit/>
        </w:trPr>
        <w:tc>
          <w:tcPr>
            <w:tcW w:type="dxa" w:w="864"/>
            <w:vAlign w:val="top"/>
            <w:tcMar>
              <w:top w:w="80" w:type="dxa"/>
              <w:start w:w="95" w:type="dxa"/>
              <w:bottom w:w="80" w:type="dxa"/>
              <w:end w:w="95" w:type="dxa"/>
            </w:tcMar>
          </w:tcPr>
          <w:p>
            <w:pPr>
              <w:spacing w:after="0"/>
            </w:pPr>
            <w:r>
              <w:rPr>
                <w:sz w:val="17"/>
              </w:rPr>
              <w:t>5</w:t>
            </w:r>
          </w:p>
        </w:tc>
        <w:tc>
          <w:tcPr>
            <w:tcW w:type="dxa" w:w="5903"/>
            <w:vAlign w:val="top"/>
            <w:tcMar>
              <w:top w:w="80" w:type="dxa"/>
              <w:start w:w="95" w:type="dxa"/>
              <w:bottom w:w="80" w:type="dxa"/>
              <w:end w:w="95" w:type="dxa"/>
            </w:tcMar>
          </w:tcPr>
          <w:p>
            <w:pPr>
              <w:spacing w:after="0"/>
            </w:pPr>
            <w:r>
              <w:rPr>
                <w:sz w:val="17"/>
              </w:rPr>
              <w:t>Expert evaluation, worker usability pilot, ablations and edge optimisation.</w:t>
            </w:r>
          </w:p>
        </w:tc>
        <w:tc>
          <w:tcPr>
            <w:tcW w:type="dxa" w:w="2736"/>
            <w:vAlign w:val="top"/>
            <w:tcMar>
              <w:top w:w="80" w:type="dxa"/>
              <w:start w:w="95" w:type="dxa"/>
              <w:bottom w:w="80" w:type="dxa"/>
              <w:end w:w="95" w:type="dxa"/>
            </w:tcMar>
          </w:tcPr>
          <w:p>
            <w:pPr>
              <w:spacing w:after="0"/>
            </w:pPr>
            <w:r>
              <w:rPr>
                <w:sz w:val="17"/>
              </w:rPr>
              <w:t>Results tables and corrected system</w:t>
            </w:r>
          </w:p>
        </w:tc>
      </w:tr>
      <w:tr>
        <w:trPr>
          <w:cantSplit/>
        </w:trPr>
        <w:tc>
          <w:tcPr>
            <w:tcW w:type="dxa" w:w="864"/>
            <w:vAlign w:val="top"/>
            <w:tcMar>
              <w:top w:w="80" w:type="dxa"/>
              <w:start w:w="95" w:type="dxa"/>
              <w:bottom w:w="80" w:type="dxa"/>
              <w:end w:w="95" w:type="dxa"/>
            </w:tcMar>
            <w:shd w:fill="F4F6F8"/>
          </w:tcPr>
          <w:p>
            <w:pPr>
              <w:spacing w:after="0"/>
            </w:pPr>
            <w:r>
              <w:rPr>
                <w:sz w:val="17"/>
              </w:rPr>
              <w:t>6</w:t>
            </w:r>
          </w:p>
        </w:tc>
        <w:tc>
          <w:tcPr>
            <w:tcW w:type="dxa" w:w="5903"/>
            <w:vAlign w:val="top"/>
            <w:tcMar>
              <w:top w:w="80" w:type="dxa"/>
              <w:start w:w="95" w:type="dxa"/>
              <w:bottom w:w="80" w:type="dxa"/>
              <w:end w:w="95" w:type="dxa"/>
            </w:tcMar>
            <w:shd w:fill="F4F6F8"/>
          </w:tcPr>
          <w:p>
            <w:pPr>
              <w:spacing w:after="0"/>
            </w:pPr>
            <w:r>
              <w:rPr>
                <w:sz w:val="17"/>
              </w:rPr>
              <w:t>Final field demo, paper writing, dataset/model documentation and presentation.</w:t>
            </w:r>
          </w:p>
        </w:tc>
        <w:tc>
          <w:tcPr>
            <w:tcW w:type="dxa" w:w="2736"/>
            <w:vAlign w:val="top"/>
            <w:tcMar>
              <w:top w:w="80" w:type="dxa"/>
              <w:start w:w="95" w:type="dxa"/>
              <w:bottom w:w="80" w:type="dxa"/>
              <w:end w:w="95" w:type="dxa"/>
            </w:tcMar>
            <w:shd w:fill="F4F6F8"/>
          </w:tcPr>
          <w:p>
            <w:pPr>
              <w:spacing w:after="0"/>
            </w:pPr>
            <w:r>
              <w:rPr>
                <w:sz w:val="17"/>
              </w:rPr>
              <w:t>Research paper, code, dataset card, demo</w:t>
            </w:r>
          </w:p>
        </w:tc>
      </w:tr>
    </w:tbl>
    <w:p>
      <w:pPr>
        <w:spacing w:after="0"/>
      </w:pPr>
    </w:p>
    <w:p>
      <w:pPr>
        <w:pStyle w:val="Heading1"/>
      </w:pPr>
      <w:r>
        <w:t>12. Publishability and final recommendation</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376"/>
            <w:shd w:fill="17324D"/>
            <w:tcMar>
              <w:top w:w="90" w:type="dxa"/>
              <w:start w:w="100" w:type="dxa"/>
              <w:bottom w:w="90" w:type="dxa"/>
              <w:end w:w="100" w:type="dxa"/>
            </w:tcMar>
          </w:tcPr>
          <w:p>
            <w:pPr>
              <w:jc w:val="center"/>
            </w:pPr>
            <w:r>
              <w:rPr>
                <w:b/>
                <w:color w:val="FFFFFF"/>
                <w:sz w:val="18"/>
              </w:rPr>
              <w:t>Factor</w:t>
            </w:r>
          </w:p>
        </w:tc>
        <w:tc>
          <w:tcPr>
            <w:tcW w:type="dxa" w:w="7128"/>
            <w:shd w:fill="17324D"/>
            <w:tcMar>
              <w:top w:w="90" w:type="dxa"/>
              <w:start w:w="100" w:type="dxa"/>
              <w:bottom w:w="90" w:type="dxa"/>
              <w:end w:w="100" w:type="dxa"/>
            </w:tcMar>
          </w:tcPr>
          <w:p>
            <w:pPr>
              <w:jc w:val="center"/>
            </w:pPr>
            <w:r>
              <w:rPr>
                <w:b/>
                <w:color w:val="FFFFFF"/>
                <w:sz w:val="18"/>
              </w:rPr>
              <w:t>Assessment</w:t>
            </w:r>
          </w:p>
        </w:tc>
      </w:tr>
      <w:tr>
        <w:trPr>
          <w:cantSplit/>
        </w:trPr>
        <w:tc>
          <w:tcPr>
            <w:tcW w:type="dxa" w:w="2376"/>
            <w:vAlign w:val="top"/>
            <w:tcMar>
              <w:top w:w="80" w:type="dxa"/>
              <w:start w:w="95" w:type="dxa"/>
              <w:bottom w:w="80" w:type="dxa"/>
              <w:end w:w="95" w:type="dxa"/>
            </w:tcMar>
          </w:tcPr>
          <w:p>
            <w:pPr>
              <w:spacing w:after="0"/>
            </w:pPr>
            <w:r>
              <w:rPr>
                <w:sz w:val="18"/>
              </w:rPr>
              <w:t>Real-world value</w:t>
            </w:r>
          </w:p>
        </w:tc>
        <w:tc>
          <w:tcPr>
            <w:tcW w:type="dxa" w:w="7128"/>
            <w:vAlign w:val="top"/>
            <w:tcMar>
              <w:top w:w="80" w:type="dxa"/>
              <w:start w:w="95" w:type="dxa"/>
              <w:bottom w:w="80" w:type="dxa"/>
              <w:end w:w="95" w:type="dxa"/>
            </w:tcMar>
          </w:tcPr>
          <w:p>
            <w:pPr>
              <w:spacing w:after="0"/>
            </w:pPr>
            <w:r>
              <w:rPr>
                <w:sz w:val="18"/>
              </w:rPr>
              <w:t>High. The user and harmful decision are clear.</w:t>
            </w:r>
          </w:p>
        </w:tc>
      </w:tr>
      <w:tr>
        <w:trPr>
          <w:cantSplit/>
        </w:trPr>
        <w:tc>
          <w:tcPr>
            <w:tcW w:type="dxa" w:w="2376"/>
            <w:vAlign w:val="top"/>
            <w:tcMar>
              <w:top w:w="80" w:type="dxa"/>
              <w:start w:w="95" w:type="dxa"/>
              <w:bottom w:w="80" w:type="dxa"/>
              <w:end w:w="95" w:type="dxa"/>
            </w:tcMar>
            <w:shd w:fill="F4F6F8"/>
          </w:tcPr>
          <w:p>
            <w:pPr>
              <w:spacing w:after="0"/>
            </w:pPr>
            <w:r>
              <w:rPr>
                <w:sz w:val="18"/>
              </w:rPr>
              <w:t>Technical depth</w:t>
            </w:r>
          </w:p>
        </w:tc>
        <w:tc>
          <w:tcPr>
            <w:tcW w:type="dxa" w:w="7128"/>
            <w:vAlign w:val="top"/>
            <w:tcMar>
              <w:top w:w="80" w:type="dxa"/>
              <w:start w:w="95" w:type="dxa"/>
              <w:bottom w:w="80" w:type="dxa"/>
              <w:end w:w="95" w:type="dxa"/>
            </w:tcMar>
            <w:shd w:fill="F4F6F8"/>
          </w:tcPr>
          <w:p>
            <w:pPr>
              <w:spacing w:after="0"/>
            </w:pPr>
            <w:r>
              <w:rPr>
                <w:sz w:val="18"/>
              </w:rPr>
              <w:t>High if the team trains detection, risk and calibration models and evaluates safety errors.</w:t>
            </w:r>
          </w:p>
        </w:tc>
      </w:tr>
      <w:tr>
        <w:trPr>
          <w:cantSplit/>
        </w:trPr>
        <w:tc>
          <w:tcPr>
            <w:tcW w:type="dxa" w:w="2376"/>
            <w:vAlign w:val="top"/>
            <w:tcMar>
              <w:top w:w="80" w:type="dxa"/>
              <w:start w:w="95" w:type="dxa"/>
              <w:bottom w:w="80" w:type="dxa"/>
              <w:end w:w="95" w:type="dxa"/>
            </w:tcMar>
          </w:tcPr>
          <w:p>
            <w:pPr>
              <w:spacing w:after="0"/>
            </w:pPr>
            <w:r>
              <w:rPr>
                <w:sz w:val="18"/>
              </w:rPr>
              <w:t>Dataset feasibility</w:t>
            </w:r>
          </w:p>
        </w:tc>
        <w:tc>
          <w:tcPr>
            <w:tcW w:type="dxa" w:w="7128"/>
            <w:vAlign w:val="top"/>
            <w:tcMar>
              <w:top w:w="80" w:type="dxa"/>
              <w:start w:w="95" w:type="dxa"/>
              <w:bottom w:w="80" w:type="dxa"/>
              <w:end w:w="95" w:type="dxa"/>
            </w:tcMar>
          </w:tcPr>
          <w:p>
            <w:pPr>
              <w:spacing w:after="0"/>
            </w:pPr>
            <w:r>
              <w:rPr>
                <w:sz w:val="18"/>
              </w:rPr>
              <w:t>Medium. Public images exist, but hazard-action labels require new expert work.</w:t>
            </w:r>
          </w:p>
        </w:tc>
      </w:tr>
      <w:tr>
        <w:trPr>
          <w:cantSplit/>
        </w:trPr>
        <w:tc>
          <w:tcPr>
            <w:tcW w:type="dxa" w:w="2376"/>
            <w:vAlign w:val="top"/>
            <w:tcMar>
              <w:top w:w="80" w:type="dxa"/>
              <w:start w:w="95" w:type="dxa"/>
              <w:bottom w:w="80" w:type="dxa"/>
              <w:end w:w="95" w:type="dxa"/>
            </w:tcMar>
            <w:shd w:fill="F4F6F8"/>
          </w:tcPr>
          <w:p>
            <w:pPr>
              <w:spacing w:after="0"/>
            </w:pPr>
            <w:r>
              <w:rPr>
                <w:sz w:val="18"/>
              </w:rPr>
              <w:t>Agentic value</w:t>
            </w:r>
          </w:p>
        </w:tc>
        <w:tc>
          <w:tcPr>
            <w:tcW w:type="dxa" w:w="7128"/>
            <w:vAlign w:val="top"/>
            <w:tcMar>
              <w:top w:w="80" w:type="dxa"/>
              <w:start w:w="95" w:type="dxa"/>
              <w:bottom w:w="80" w:type="dxa"/>
              <w:end w:w="95" w:type="dxa"/>
            </w:tcMar>
            <w:shd w:fill="F4F6F8"/>
          </w:tcPr>
          <w:p>
            <w:pPr>
              <w:spacing w:after="0"/>
            </w:pPr>
            <w:r>
              <w:rPr>
                <w:sz w:val="18"/>
              </w:rPr>
              <w:t>Meaningful only for retrieval, verification, training and routing. Agents must not replace the trained safety model.</w:t>
            </w:r>
          </w:p>
        </w:tc>
      </w:tr>
      <w:tr>
        <w:trPr>
          <w:cantSplit/>
        </w:trPr>
        <w:tc>
          <w:tcPr>
            <w:tcW w:type="dxa" w:w="2376"/>
            <w:vAlign w:val="top"/>
            <w:tcMar>
              <w:top w:w="80" w:type="dxa"/>
              <w:start w:w="95" w:type="dxa"/>
              <w:bottom w:w="80" w:type="dxa"/>
              <w:end w:w="95" w:type="dxa"/>
            </w:tcMar>
          </w:tcPr>
          <w:p>
            <w:pPr>
              <w:spacing w:after="0"/>
            </w:pPr>
            <w:r>
              <w:rPr>
                <w:sz w:val="18"/>
              </w:rPr>
              <w:t>Paper potential</w:t>
            </w:r>
          </w:p>
        </w:tc>
        <w:tc>
          <w:tcPr>
            <w:tcW w:type="dxa" w:w="7128"/>
            <w:vAlign w:val="top"/>
            <w:tcMar>
              <w:top w:w="80" w:type="dxa"/>
              <w:start w:w="95" w:type="dxa"/>
              <w:bottom w:w="80" w:type="dxa"/>
              <w:end w:w="95" w:type="dxa"/>
            </w:tcMar>
          </w:tcPr>
          <w:p>
            <w:pPr>
              <w:spacing w:after="0"/>
            </w:pPr>
            <w:r>
              <w:rPr>
                <w:sz w:val="18"/>
              </w:rPr>
              <w:t>Good if there is a new dataset, expert ground truth, field-style images, calibration and usability testing.</w:t>
            </w:r>
          </w:p>
        </w:tc>
      </w:tr>
      <w:tr>
        <w:trPr>
          <w:cantSplit/>
        </w:trPr>
        <w:tc>
          <w:tcPr>
            <w:tcW w:type="dxa" w:w="2376"/>
            <w:vAlign w:val="top"/>
            <w:tcMar>
              <w:top w:w="80" w:type="dxa"/>
              <w:start w:w="95" w:type="dxa"/>
              <w:bottom w:w="80" w:type="dxa"/>
              <w:end w:w="95" w:type="dxa"/>
            </w:tcMar>
            <w:shd w:fill="F4F6F8"/>
          </w:tcPr>
          <w:p>
            <w:pPr>
              <w:spacing w:after="0"/>
            </w:pPr>
            <w:r>
              <w:rPr>
                <w:sz w:val="18"/>
              </w:rPr>
              <w:t>Biggest risk</w:t>
            </w:r>
          </w:p>
        </w:tc>
        <w:tc>
          <w:tcPr>
            <w:tcW w:type="dxa" w:w="7128"/>
            <w:vAlign w:val="top"/>
            <w:tcMar>
              <w:top w:w="80" w:type="dxa"/>
              <w:start w:w="95" w:type="dxa"/>
              <w:bottom w:w="80" w:type="dxa"/>
              <w:end w:w="95" w:type="dxa"/>
            </w:tcMar>
            <w:shd w:fill="F4F6F8"/>
          </w:tcPr>
          <w:p>
            <w:pPr>
              <w:spacing w:after="0"/>
            </w:pPr>
            <w:r>
              <w:rPr>
                <w:sz w:val="18"/>
              </w:rPr>
              <w:t>Lack of safety expert/recycler partnership and overclaiming what an image can determine.</w:t>
            </w:r>
          </w:p>
        </w:tc>
      </w:tr>
      <w:tr>
        <w:trPr>
          <w:cantSplit/>
        </w:trPr>
        <w:tc>
          <w:tcPr>
            <w:tcW w:type="dxa" w:w="2376"/>
            <w:vAlign w:val="top"/>
            <w:tcMar>
              <w:top w:w="80" w:type="dxa"/>
              <w:start w:w="95" w:type="dxa"/>
              <w:bottom w:w="80" w:type="dxa"/>
              <w:end w:w="95" w:type="dxa"/>
            </w:tcMar>
          </w:tcPr>
          <w:p>
            <w:pPr>
              <w:spacing w:after="0"/>
            </w:pPr>
            <w:r>
              <w:rPr>
                <w:sz w:val="18"/>
              </w:rPr>
              <w:t>Go / no-go</w:t>
            </w:r>
          </w:p>
        </w:tc>
        <w:tc>
          <w:tcPr>
            <w:tcW w:type="dxa" w:w="7128"/>
            <w:vAlign w:val="top"/>
            <w:tcMar>
              <w:top w:w="80" w:type="dxa"/>
              <w:start w:w="95" w:type="dxa"/>
              <w:bottom w:w="80" w:type="dxa"/>
              <w:end w:w="95" w:type="dxa"/>
            </w:tcMar>
          </w:tcPr>
          <w:p>
            <w:pPr>
              <w:spacing w:after="0"/>
            </w:pPr>
            <w:r>
              <w:rPr>
                <w:sz w:val="18"/>
              </w:rPr>
              <w:t>GO after confirming one field partner and one safety expert. Otherwise keep as a prototype, not a deployment claim.</w:t>
            </w:r>
          </w:p>
        </w:tc>
      </w:tr>
    </w:tbl>
    <w:p>
      <w:pPr>
        <w:spacing w:after="0"/>
      </w:pPr>
    </w:p>
    <w:tbl>
      <w:tblPr>
        <w:tblW w:type="auto" w:w="0"/>
        <w:jc w:val="center"/>
        <w:tblLayout w:type="autofit"/>
        <w:tblLook w:firstColumn="1" w:firstRow="1" w:lastColumn="0" w:lastRow="0" w:noHBand="0" w:noVBand="1" w:val="04A0"/>
      </w:tblPr>
      <w:tblGrid>
        <w:gridCol w:w="9922"/>
      </w:tblGrid>
      <w:tr>
        <w:trPr>
          <w:cantSplit/>
        </w:trPr>
        <w:tc>
          <w:tcPr>
            <w:tcW w:type="dxa" w:w="9922"/>
            <w:shd w:fill="EAF6F7"/>
            <w:tcMar>
              <w:top w:w="140" w:type="dxa"/>
              <w:start w:w="170" w:type="dxa"/>
              <w:bottom w:w="140" w:type="dxa"/>
              <w:end w:w="170" w:type="dxa"/>
            </w:tcMar>
          </w:tcPr>
          <w:p>
            <w:pPr>
              <w:keepLines/>
            </w:pPr>
            <w:r>
              <w:rPr>
                <w:b/>
              </w:rPr>
              <w:t xml:space="preserve">A publishable paper title: </w:t>
            </w:r>
            <w:r>
              <w:t>Risk-Calibrated Multimodal Decision Support for Pre-Dismantling E-Waste Safety in Informal Work Settings</w:t>
            </w:r>
          </w:p>
        </w:tc>
      </w:tr>
    </w:tbl>
    <w:p>
      <w:pPr>
        <w:spacing w:after="0"/>
      </w:pPr>
    </w:p>
    <w:tbl>
      <w:tblPr>
        <w:tblW w:type="auto" w:w="0"/>
        <w:jc w:val="center"/>
        <w:tblLayout w:type="autofit"/>
        <w:tblLook w:firstColumn="1" w:firstRow="1" w:lastColumn="0" w:lastRow="0" w:noHBand="0" w:noVBand="1" w:val="04A0"/>
      </w:tblPr>
      <w:tblGrid>
        <w:gridCol w:w="9922"/>
      </w:tblGrid>
      <w:tr>
        <w:trPr>
          <w:cantSplit/>
        </w:trPr>
        <w:tc>
          <w:tcPr>
            <w:tcW w:type="dxa" w:w="9922"/>
            <w:shd w:fill="EAF6F7"/>
            <w:tcMar>
              <w:top w:w="140" w:type="dxa"/>
              <w:start w:w="170" w:type="dxa"/>
              <w:bottom w:w="140" w:type="dxa"/>
              <w:end w:w="170" w:type="dxa"/>
            </w:tcMar>
          </w:tcPr>
          <w:p>
            <w:pPr>
              <w:keepLines/>
            </w:pPr>
            <w:r>
              <w:rPr>
                <w:b/>
              </w:rPr>
              <w:t xml:space="preserve">Why a reviewer may reject it: </w:t>
            </w:r>
            <w:r>
              <w:t>If the paper only reports classification accuracy, uses a generic chatbot, gives no new dataset, has no safety calibration, and has no expert or user evaluation.</w:t>
            </w:r>
          </w:p>
        </w:tc>
      </w:tr>
    </w:tbl>
    <w:p>
      <w:pPr>
        <w:spacing w:after="0"/>
      </w:pPr>
    </w:p>
    <w:p>
      <w:pPr>
        <w:pStyle w:val="Heading1"/>
      </w:pPr>
      <w:r>
        <w:t>Presentation-ready explanation</w:t>
      </w:r>
    </w:p>
    <w:tbl>
      <w:tblPr>
        <w:tblW w:type="auto" w:w="0"/>
        <w:jc w:val="center"/>
        <w:tblLayout w:type="autofit"/>
        <w:tblLook w:firstColumn="1" w:firstRow="1" w:lastColumn="0" w:lastRow="0" w:noHBand="0" w:noVBand="1" w:val="04A0"/>
      </w:tblPr>
      <w:tblGrid>
        <w:gridCol w:w="9922"/>
      </w:tblGrid>
      <w:tr>
        <w:trPr>
          <w:cantSplit/>
        </w:trPr>
        <w:tc>
          <w:tcPr>
            <w:tcW w:type="dxa" w:w="9922"/>
            <w:shd w:fill="EAF0F6"/>
            <w:tcMar>
              <w:top w:w="140" w:type="dxa"/>
              <w:start w:w="170" w:type="dxa"/>
              <w:bottom w:w="140" w:type="dxa"/>
              <w:end w:w="170" w:type="dxa"/>
            </w:tcMar>
          </w:tcPr>
          <w:p>
            <w:pPr>
              <w:keepLines/>
            </w:pPr>
            <w:r>
              <w:rPr>
                <w:b/>
              </w:rPr>
              <w:t xml:space="preserve">You can read this to your ma’am: </w:t>
            </w:r>
            <w:r>
              <w:t>Our exact problem is not e-waste classification. Informal workers already know that electronic waste can be dangerous, but they often cannot identify the risk of the specific item in front of them. E-Safe will use a phone image and a few simple questions to decide whether the item can only be collected, must be isolated for trained handling, or must not be manually opened at all. We will train a hazard detector, a multimodal action-risk model and a confidence calibrator. The agentic layer will retrieve verified safety guidance, reject unsafe advice and connect the worker to an authorised recycler in Marathi or Hindi. The research novelty is the hazard-action dataset, the false-safe evaluation and the uncertainty-based escalation—not simply combining YOLO with a chatbot. We propose a Pune pilot because PMC and MPCB already provide authorised collection and facility information.</w:t>
            </w:r>
          </w:p>
        </w:tc>
      </w:tr>
    </w:tbl>
    <w:p>
      <w:pPr>
        <w:spacing w:after="0"/>
      </w:pPr>
    </w:p>
    <w:p>
      <w:pPr>
        <w:pStyle w:val="Heading2"/>
      </w:pPr>
      <w:r>
        <w:t>Questions ma’am may ask</w:t>
      </w:r>
    </w:p>
    <w:p>
      <w:pPr>
        <w:spacing w:after="80"/>
      </w:pPr>
      <w:r>
        <w:rPr>
          <w:b/>
        </w:rPr>
        <w:t xml:space="preserve">“Is this already available?” </w:t>
      </w:r>
      <w:r>
        <w:t>AI sorting and recycler locator systems exist. Our reviewed gap is worker-facing, item-specific, calibrated action triage in uncontrolled field conditions. We will still run a systematic novelty review before final approval.</w:t>
      </w:r>
    </w:p>
    <w:p>
      <w:pPr>
        <w:spacing w:after="80"/>
      </w:pPr>
      <w:r>
        <w:rPr>
          <w:b/>
        </w:rPr>
        <w:t xml:space="preserve">“Can a photograph prove an item is safe?” </w:t>
      </w:r>
      <w:r>
        <w:t>No. The system will never certify safety. It will use visible cues and context to make a conservative triage decision and abstain when uncertain.</w:t>
      </w:r>
    </w:p>
    <w:p>
      <w:pPr>
        <w:spacing w:after="80"/>
      </w:pPr>
      <w:r>
        <w:rPr>
          <w:b/>
        </w:rPr>
        <w:t xml:space="preserve">“Why agents?” </w:t>
      </w:r>
      <w:r>
        <w:t>Agents have narrow support roles: approved-knowledge retrieval, safety verification, language adaptation and recycler routing. The critical risk decision comes from trained and calibrated models.</w:t>
      </w:r>
    </w:p>
    <w:p>
      <w:pPr>
        <w:spacing w:after="80"/>
      </w:pPr>
      <w:r>
        <w:rPr>
          <w:b/>
        </w:rPr>
        <w:t xml:space="preserve">“Where will data come from?” </w:t>
      </w:r>
      <w:r>
        <w:t>Public component/e-waste datasets plus a custom, safely collected and expert-labelled Pune dataset. We will not create hazardous failures for photographs.</w:t>
      </w:r>
    </w:p>
    <w:p>
      <w:pPr>
        <w:spacing w:after="80"/>
      </w:pPr>
      <w:r>
        <w:rPr>
          <w:b/>
        </w:rPr>
        <w:t xml:space="preserve">“What is the measurable contribution?” </w:t>
      </w:r>
      <w:r>
        <w:t>Lower false-safe errors, better calibrated confidence, expert-validated guidance, and a new hazard-action benchmark.</w:t>
      </w:r>
    </w:p>
    <w:p>
      <w:r>
        <w:br w:type="page"/>
      </w:r>
    </w:p>
    <w:p>
      <w:pPr>
        <w:pStyle w:val="Heading1"/>
      </w:pPr>
      <w:r>
        <w:t>References and source trail</w:t>
      </w:r>
    </w:p>
    <w:p>
      <w:pPr>
        <w:spacing w:after="160"/>
      </w:pPr>
      <w:r>
        <w:t>Research checked up to 4 August 2026. Links are included so the claims can be verified and the legal or technical knowledge base can be updated before deployment.</w:t>
      </w:r>
    </w:p>
    <w:p>
      <w:pPr>
        <w:spacing w:after="80"/>
        <w:ind w:left="312" w:hanging="312"/>
      </w:pPr>
      <w:r>
        <w:rPr>
          <w:sz w:val="18"/>
        </w:rPr>
        <w:t>[1] World Health Organization. Electronic waste (e-waste): health risks and recommended action</w:t>
      </w:r>
      <w:r>
        <w:rPr>
          <w:sz w:val="18"/>
        </w:rPr>
        <w:t xml:space="preserve"> (2024).</w:t>
      </w:r>
      <w:r>
        <w:rPr>
          <w:sz w:val="18"/>
        </w:rPr>
        <w:t xml:space="preserve"> </w:t>
      </w:r>
      <w:hyperlink r:id="rId12">
        <w:r>
          <w:rPr>
            <w:color w:val="0563C1"/>
            <w:u w:val="single"/>
          </w:rPr>
          <w:t>Open source</w:t>
        </w:r>
      </w:hyperlink>
    </w:p>
    <w:p>
      <w:pPr>
        <w:spacing w:after="80"/>
        <w:ind w:left="312" w:hanging="312"/>
      </w:pPr>
      <w:r>
        <w:rPr>
          <w:sz w:val="18"/>
        </w:rPr>
        <w:t>[2] UNITAR / ITU. The Global E-waste Monitor 2024</w:t>
      </w:r>
      <w:r>
        <w:rPr>
          <w:sz w:val="18"/>
        </w:rPr>
        <w:t xml:space="preserve"> (2024).</w:t>
      </w:r>
      <w:r>
        <w:rPr>
          <w:sz w:val="18"/>
        </w:rPr>
        <w:t xml:space="preserve"> </w:t>
      </w:r>
      <w:hyperlink r:id="rId13">
        <w:r>
          <w:rPr>
            <w:color w:val="0563C1"/>
            <w:u w:val="single"/>
          </w:rPr>
          <w:t>Open source</w:t>
        </w:r>
      </w:hyperlink>
    </w:p>
    <w:p>
      <w:pPr>
        <w:spacing w:after="80"/>
        <w:ind w:left="312" w:hanging="312"/>
      </w:pPr>
      <w:r>
        <w:rPr>
          <w:sz w:val="18"/>
        </w:rPr>
        <w:t>[3] UNITAR. Global E-waste Monitor 2024 press release</w:t>
      </w:r>
      <w:r>
        <w:rPr>
          <w:sz w:val="18"/>
        </w:rPr>
        <w:t xml:space="preserve"> (2024).</w:t>
      </w:r>
      <w:r>
        <w:rPr>
          <w:sz w:val="18"/>
        </w:rPr>
        <w:t xml:space="preserve"> </w:t>
      </w:r>
      <w:hyperlink r:id="rId14">
        <w:r>
          <w:rPr>
            <w:color w:val="0563C1"/>
            <w:u w:val="single"/>
          </w:rPr>
          <w:t>Open source</w:t>
        </w:r>
      </w:hyperlink>
    </w:p>
    <w:p>
      <w:pPr>
        <w:spacing w:after="80"/>
        <w:ind w:left="312" w:hanging="312"/>
      </w:pPr>
      <w:r>
        <w:rPr>
          <w:sz w:val="18"/>
        </w:rPr>
        <w:t>[4] Press Information Bureau, Government of India. E-Waste (Management) Rules, 2022 overview</w:t>
      </w:r>
      <w:r>
        <w:rPr>
          <w:sz w:val="18"/>
        </w:rPr>
        <w:t xml:space="preserve"> (2022).</w:t>
      </w:r>
      <w:r>
        <w:rPr>
          <w:sz w:val="18"/>
        </w:rPr>
        <w:t xml:space="preserve"> </w:t>
      </w:r>
      <w:hyperlink r:id="rId15">
        <w:r>
          <w:rPr>
            <w:color w:val="0563C1"/>
            <w:u w:val="single"/>
          </w:rPr>
          <w:t>Open source</w:t>
        </w:r>
      </w:hyperlink>
    </w:p>
    <w:p>
      <w:pPr>
        <w:spacing w:after="80"/>
        <w:ind w:left="312" w:hanging="312"/>
      </w:pPr>
      <w:r>
        <w:rPr>
          <w:sz w:val="18"/>
        </w:rPr>
        <w:t>[5] Central Pollution Control Board. SOPs for E-Waste Recycler under the 2022 Rules</w:t>
      </w:r>
      <w:r>
        <w:rPr>
          <w:sz w:val="18"/>
        </w:rPr>
        <w:t xml:space="preserve"> (2024).</w:t>
      </w:r>
      <w:r>
        <w:rPr>
          <w:sz w:val="18"/>
        </w:rPr>
        <w:t xml:space="preserve"> </w:t>
      </w:r>
      <w:hyperlink r:id="rId16">
        <w:r>
          <w:rPr>
            <w:color w:val="0563C1"/>
            <w:u w:val="single"/>
          </w:rPr>
          <w:t>Open source</w:t>
        </w:r>
      </w:hyperlink>
    </w:p>
    <w:p>
      <w:pPr>
        <w:spacing w:after="80"/>
        <w:ind w:left="312" w:hanging="312"/>
      </w:pPr>
      <w:r>
        <w:rPr>
          <w:sz w:val="18"/>
        </w:rPr>
        <w:t>[6] Central Pollution Control Board. E-Waste EPR Portal</w:t>
      </w:r>
      <w:r>
        <w:rPr>
          <w:sz w:val="18"/>
        </w:rPr>
        <w:t>.</w:t>
      </w:r>
      <w:r>
        <w:rPr>
          <w:sz w:val="18"/>
        </w:rPr>
        <w:t xml:space="preserve"> </w:t>
      </w:r>
      <w:hyperlink r:id="rId17">
        <w:r>
          <w:rPr>
            <w:color w:val="0563C1"/>
            <w:u w:val="single"/>
          </w:rPr>
          <w:t>Open source</w:t>
        </w:r>
      </w:hyperlink>
    </w:p>
    <w:p>
      <w:pPr>
        <w:spacing w:after="80"/>
        <w:ind w:left="312" w:hanging="312"/>
      </w:pPr>
      <w:r>
        <w:rPr>
          <w:sz w:val="18"/>
        </w:rPr>
        <w:t>[7] Council on Energy, Environment and Water. Electrical and Electronic Waste Recycling: informal-sector integration and training</w:t>
      </w:r>
      <w:r>
        <w:rPr>
          <w:sz w:val="18"/>
        </w:rPr>
        <w:t xml:space="preserve"> (2025).</w:t>
      </w:r>
      <w:r>
        <w:rPr>
          <w:sz w:val="18"/>
        </w:rPr>
        <w:t xml:space="preserve"> </w:t>
      </w:r>
      <w:hyperlink r:id="rId18">
        <w:r>
          <w:rPr>
            <w:color w:val="0563C1"/>
            <w:u w:val="single"/>
          </w:rPr>
          <w:t>Open source</w:t>
        </w:r>
      </w:hyperlink>
    </w:p>
    <w:p>
      <w:pPr>
        <w:spacing w:after="80"/>
        <w:ind w:left="312" w:hanging="312"/>
      </w:pPr>
      <w:r>
        <w:rPr>
          <w:sz w:val="18"/>
        </w:rPr>
        <w:t>[8] Peer-reviewed systematic review (PMC). Bridging the knowledge gap: health outcomes in informal e-waste workers</w:t>
      </w:r>
      <w:r>
        <w:rPr>
          <w:sz w:val="18"/>
        </w:rPr>
        <w:t xml:space="preserve"> (2024).</w:t>
      </w:r>
      <w:r>
        <w:rPr>
          <w:sz w:val="18"/>
        </w:rPr>
        <w:t xml:space="preserve"> </w:t>
      </w:r>
      <w:hyperlink r:id="rId19">
        <w:r>
          <w:rPr>
            <w:color w:val="0563C1"/>
            <w:u w:val="single"/>
          </w:rPr>
          <w:t>Open source</w:t>
        </w:r>
      </w:hyperlink>
    </w:p>
    <w:p>
      <w:pPr>
        <w:spacing w:after="80"/>
        <w:ind w:left="312" w:hanging="312"/>
      </w:pPr>
      <w:r>
        <w:rPr>
          <w:sz w:val="18"/>
        </w:rPr>
        <w:t>[9] Peer-reviewed study (PMC). Awareness, safety practices and associated factors among e-waste workers</w:t>
      </w:r>
      <w:r>
        <w:rPr>
          <w:sz w:val="18"/>
        </w:rPr>
        <w:t xml:space="preserve"> (2024).</w:t>
      </w:r>
      <w:r>
        <w:rPr>
          <w:sz w:val="18"/>
        </w:rPr>
        <w:t xml:space="preserve"> </w:t>
      </w:r>
      <w:hyperlink r:id="rId20">
        <w:r>
          <w:rPr>
            <w:color w:val="0563C1"/>
            <w:u w:val="single"/>
          </w:rPr>
          <w:t>Open source</w:t>
        </w:r>
      </w:hyperlink>
    </w:p>
    <w:p>
      <w:pPr>
        <w:spacing w:after="80"/>
        <w:ind w:left="312" w:hanging="312"/>
      </w:pPr>
      <w:r>
        <w:rPr>
          <w:sz w:val="18"/>
        </w:rPr>
        <w:t>[10] Peer-reviewed dataset paper (PMC). ElectroCom61: multiclass dataset for electronic component detection</w:t>
      </w:r>
      <w:r>
        <w:rPr>
          <w:sz w:val="18"/>
        </w:rPr>
        <w:t xml:space="preserve"> (2025).</w:t>
      </w:r>
      <w:r>
        <w:rPr>
          <w:sz w:val="18"/>
        </w:rPr>
        <w:t xml:space="preserve"> </w:t>
      </w:r>
      <w:hyperlink r:id="rId21">
        <w:r>
          <w:rPr>
            <w:color w:val="0563C1"/>
            <w:u w:val="single"/>
          </w:rPr>
          <w:t>Open source</w:t>
        </w:r>
      </w:hyperlink>
    </w:p>
    <w:p>
      <w:pPr>
        <w:spacing w:after="80"/>
        <w:ind w:left="312" w:hanging="312"/>
      </w:pPr>
      <w:r>
        <w:rPr>
          <w:sz w:val="18"/>
        </w:rPr>
        <w:t>[11] arXiv research paper. Image segmentation and classification of e-waste for waste segregation</w:t>
      </w:r>
      <w:r>
        <w:rPr>
          <w:sz w:val="18"/>
        </w:rPr>
        <w:t xml:space="preserve"> (2025).</w:t>
      </w:r>
      <w:r>
        <w:rPr>
          <w:sz w:val="18"/>
        </w:rPr>
        <w:t xml:space="preserve"> </w:t>
      </w:r>
      <w:hyperlink r:id="rId22">
        <w:r>
          <w:rPr>
            <w:color w:val="0563C1"/>
            <w:u w:val="single"/>
          </w:rPr>
          <w:t>Open source</w:t>
        </w:r>
      </w:hyperlink>
    </w:p>
    <w:p>
      <w:pPr>
        <w:spacing w:after="80"/>
        <w:ind w:left="312" w:hanging="312"/>
      </w:pPr>
      <w:r>
        <w:rPr>
          <w:sz w:val="18"/>
        </w:rPr>
        <w:t>[12] arXiv research paper. Leveraging CNN and IoT for effective e-waste management</w:t>
      </w:r>
      <w:r>
        <w:rPr>
          <w:sz w:val="18"/>
        </w:rPr>
        <w:t xml:space="preserve"> (2025).</w:t>
      </w:r>
      <w:r>
        <w:rPr>
          <w:sz w:val="18"/>
        </w:rPr>
        <w:t xml:space="preserve"> </w:t>
      </w:r>
      <w:hyperlink r:id="rId23">
        <w:r>
          <w:rPr>
            <w:color w:val="0563C1"/>
            <w:u w:val="single"/>
          </w:rPr>
          <w:t>Open source</w:t>
        </w:r>
      </w:hyperlink>
    </w:p>
    <w:p>
      <w:pPr>
        <w:spacing w:after="80"/>
        <w:ind w:left="312" w:hanging="312"/>
      </w:pPr>
      <w:r>
        <w:rPr>
          <w:sz w:val="18"/>
        </w:rPr>
        <w:t>[13] Maharashtra Pollution Control Board. Electronic Waste: authorised facilities in Maharashtra</w:t>
      </w:r>
      <w:r>
        <w:rPr>
          <w:sz w:val="18"/>
        </w:rPr>
        <w:t xml:space="preserve"> (2026).</w:t>
      </w:r>
      <w:r>
        <w:rPr>
          <w:sz w:val="18"/>
        </w:rPr>
        <w:t xml:space="preserve"> </w:t>
      </w:r>
      <w:hyperlink r:id="rId24">
        <w:r>
          <w:rPr>
            <w:color w:val="0563C1"/>
            <w:u w:val="single"/>
          </w:rPr>
          <w:t>Open source</w:t>
        </w:r>
      </w:hyperlink>
    </w:p>
    <w:p>
      <w:pPr>
        <w:spacing w:after="80"/>
        <w:ind w:left="312" w:hanging="312"/>
      </w:pPr>
      <w:r>
        <w:rPr>
          <w:sz w:val="18"/>
        </w:rPr>
        <w:t>[14] Pune Municipal Corporation. E-Waste Collection initiative</w:t>
      </w:r>
      <w:r>
        <w:rPr>
          <w:sz w:val="18"/>
        </w:rPr>
        <w:t>.</w:t>
      </w:r>
      <w:r>
        <w:rPr>
          <w:sz w:val="18"/>
        </w:rPr>
        <w:t xml:space="preserve"> </w:t>
      </w:r>
      <w:hyperlink r:id="rId25">
        <w:r>
          <w:rPr>
            <w:color w:val="0563C1"/>
            <w:u w:val="single"/>
          </w:rPr>
          <w:t>Open source</w:t>
        </w:r>
      </w:hyperlink>
    </w:p>
    <w:p>
      <w:pPr>
        <w:spacing w:after="80"/>
        <w:ind w:left="312" w:hanging="312"/>
      </w:pPr>
      <w:r>
        <w:rPr>
          <w:sz w:val="18"/>
        </w:rPr>
        <w:t>[15] Waste Culture / programme case study. E[co]work: safe and inclusive shared dismantling model</w:t>
      </w:r>
      <w:r>
        <w:rPr>
          <w:sz w:val="18"/>
        </w:rPr>
        <w:t>.</w:t>
      </w:r>
      <w:r>
        <w:rPr>
          <w:sz w:val="18"/>
        </w:rPr>
        <w:t xml:space="preserve"> </w:t>
      </w:r>
      <w:hyperlink r:id="rId26">
        <w:r>
          <w:rPr>
            <w:color w:val="0563C1"/>
            <w:u w:val="single"/>
          </w:rPr>
          <w:t>Open source</w:t>
        </w:r>
      </w:hyperlink>
    </w:p>
    <w:sectPr w:rsidR="00FC693F" w:rsidRPr="0006063C" w:rsidSect="00034616">
      <w:headerReference w:type="default" r:id="rId9"/>
      <w:footerReference w:type="default" r:id="rId10"/>
      <w:pgSz w:w="11906" w:h="16838"/>
      <w:pgMar w:top="935"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2606D"/>
        <w:sz w:val="17"/>
      </w:rPr>
      <w:t>E-Safe | Research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C7C86"/>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val="0"/>
      <w:i/>
      <w:iCs/>
      <w:color w:val="52606D"/>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0"/>
    </w:pPr>
    <w:rPr>
      <w:rFonts w:ascii="Arial" w:hAnsi="Arial"/>
      <w:b/>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who.int/news-room/fact-sheets/detail/electronic-waste-%28e-waste%29" TargetMode="External"/><Relationship Id="rId13" Type="http://schemas.openxmlformats.org/officeDocument/2006/relationships/hyperlink" Target="https://ewastemonitor.info/the-global-e-waste-monitor-2024/" TargetMode="External"/><Relationship Id="rId14" Type="http://schemas.openxmlformats.org/officeDocument/2006/relationships/hyperlink" Target="https://unitar.org/about/news-stories/press/global-e-waste-monitor-2024-electronic-waste-rising-five-times-faster-documented-e-waste-recycling" TargetMode="External"/><Relationship Id="rId15" Type="http://schemas.openxmlformats.org/officeDocument/2006/relationships/hyperlink" Target="https://www.pib.gov.in/PressReleasePage.aspx?PRID=1881761" TargetMode="External"/><Relationship Id="rId16" Type="http://schemas.openxmlformats.org/officeDocument/2006/relationships/hyperlink" Target="https://asocmms.nic.in/OCMMS/SPCB_DOCUMENTS/SOP_for_Ewaste_Recycler.pdf" TargetMode="External"/><Relationship Id="rId17" Type="http://schemas.openxmlformats.org/officeDocument/2006/relationships/hyperlink" Target="https://eprewaste.cpcb.gov.in/" TargetMode="External"/><Relationship Id="rId18" Type="http://schemas.openxmlformats.org/officeDocument/2006/relationships/hyperlink" Target="https://www.ceew.in/electrical-and-electronic-waste-recycling" TargetMode="External"/><Relationship Id="rId19" Type="http://schemas.openxmlformats.org/officeDocument/2006/relationships/hyperlink" Target="https://pmc.ncbi.nlm.nih.gov/articles/PMC11017591/" TargetMode="External"/><Relationship Id="rId20" Type="http://schemas.openxmlformats.org/officeDocument/2006/relationships/hyperlink" Target="https://pmc.ncbi.nlm.nih.gov/articles/PMC11325305/" TargetMode="External"/><Relationship Id="rId21" Type="http://schemas.openxmlformats.org/officeDocument/2006/relationships/hyperlink" Target="https://pmc.ncbi.nlm.nih.gov/articles/PMC11847280/" TargetMode="External"/><Relationship Id="rId22" Type="http://schemas.openxmlformats.org/officeDocument/2006/relationships/hyperlink" Target="https://arxiv.org/abs/2506.07122" TargetMode="External"/><Relationship Id="rId23" Type="http://schemas.openxmlformats.org/officeDocument/2006/relationships/hyperlink" Target="https://arxiv.org/abs/2506.16647" TargetMode="External"/><Relationship Id="rId24" Type="http://schemas.openxmlformats.org/officeDocument/2006/relationships/hyperlink" Target="https://mpcb.gov.in/en/waste-management/electronic-waste" TargetMode="External"/><Relationship Id="rId25" Type="http://schemas.openxmlformats.org/officeDocument/2006/relationships/hyperlink" Target="https://www.pmc.gov.in/en/b/e-waste-collection" TargetMode="External"/><Relationship Id="rId26" Type="http://schemas.openxmlformats.org/officeDocument/2006/relationships/hyperlink" Target="https://wasteculture.com/bestpractice/3394/Ecowork-Enabling-Safe-Inclusive-and-Circular-Solutions-for-E-Waste-Management-in-Indi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