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Xc8053862dd289920fe0cad8c94aeca7a31a0ede"/>
    <w:p>
      <w:pPr>
        <w:pStyle w:val="Heading2"/>
      </w:pPr>
      <w:r>
        <w:t xml:space="preserve">Adım 8 – Yanlış etiketleri düzeltin (anatomist)</w:t>
      </w:r>
    </w:p>
    <w:p>
      <w:pPr>
        <w:pStyle w:val="FirstParagraph"/>
      </w:pPr>
      <w:r>
        <w:t xml:space="preserve">Otomatik etiketler bir öneridir; son kararı anatomist verir.</w:t>
      </w:r>
    </w:p>
    <w:p>
      <w:pPr>
        <w:numPr>
          <w:ilvl w:val="0"/>
          <w:numId w:val="1002"/>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2"/>
        </w:numPr>
        <w:pStyle w:val="Compact"/>
      </w:pPr>
      <w:r>
        <w:rPr>
          <w:bCs/>
          <w:b/>
        </w:rPr>
        <w:t xml:space="preserve">Mode</w:t>
      </w:r>
      <w:r>
        <w:t xml:space="preserve"> </w:t>
      </w:r>
      <w:r>
        <w:t xml:space="preserve">kutusunda iki seçenek var:</w:t>
      </w:r>
    </w:p>
    <w:p>
      <w:pPr>
        <w:numPr>
          <w:ilvl w:val="1"/>
          <w:numId w:val="1003"/>
        </w:numPr>
        <w:pStyle w:val="Compact"/>
      </w:pPr>
      <w:r>
        <w:rPr>
          <w:bCs/>
          <w:b/>
        </w:rPr>
        <w:t xml:space="preserve">Segment between two clicks</w:t>
      </w:r>
      <w:r>
        <w:t xml:space="preserve"> </w:t>
      </w:r>
      <w:r>
        <w:t xml:space="preserve">(varsayılan):</w:t>
      </w:r>
      <w:r>
        <w:t xml:space="preserve"> </w:t>
      </w:r>
      <w:r>
        <w:rPr>
          <w:bCs/>
          <w:b/>
        </w:rPr>
        <w:t xml:space="preserve">Pick branch</w:t>
      </w:r>
      <w:r>
        <w:t xml:space="preserve">’e basın, yanlış segmentin</w:t>
      </w:r>
      <w:r>
        <w:t xml:space="preserve"> </w:t>
      </w:r>
      <w:r>
        <w:rPr>
          <w:bCs/>
          <w:b/>
        </w:rPr>
        <w:t xml:space="preserve">başına</w:t>
      </w:r>
      <w:r>
        <w:t xml:space="preserve"> </w:t>
      </w:r>
      <w:r>
        <w:t xml:space="preserve">sonra</w:t>
      </w:r>
      <w:r>
        <w:t xml:space="preserve"> </w:t>
      </w:r>
      <w:r>
        <w:rPr>
          <w:bCs/>
          <w:b/>
        </w:rPr>
        <w:t xml:space="preserve">sonuna</w:t>
      </w:r>
      <w:r>
        <w:t xml:space="preserve"> </w:t>
      </w:r>
      <w:r>
        <w:t xml:space="preserve">tıklayın. Yalnızca iki tıklama arasındaki damar yeni adı alır. Willis halkası bir döngü olduğu için halkanın içindeki düzeltmeler (PComA, P1, A1, AComA) bu kipte yapılmalı.</w:t>
      </w:r>
    </w:p>
    <w:p>
      <w:pPr>
        <w:numPr>
          <w:ilvl w:val="1"/>
          <w:numId w:val="1003"/>
        </w:numPr>
        <w:pStyle w:val="Compact"/>
      </w:pPr>
      <w:r>
        <w:rPr>
          <w:bCs/>
          <w:b/>
        </w:rPr>
        <w:t xml:space="preserve">Branch from the click onwards</w:t>
      </w:r>
      <w:r>
        <w:t xml:space="preserve">: tek tıklama; tıklanan noktadan kalpten uzağa uzanan ve aynı yanlış adı taşıyan bölüm yeni adı alır. Halkanın dışındaki dallar (SCA, MCA dalları gibi) için hızlıdır.</w:t>
      </w:r>
    </w:p>
    <w:p>
      <w:pPr>
        <w:numPr>
          <w:ilvl w:val="0"/>
          <w:numId w:val="1002"/>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8"/>
    <w:bookmarkStart w:id="49" w:name="adım-9-dışa-aktarın-3b-baskı-için"/>
    <w:p>
      <w:pPr>
        <w:pStyle w:val="Heading2"/>
      </w:pPr>
      <w:r>
        <w:t xml:space="preserve">Adım 9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9"/>
    <w:bookmarkStart w:id="59" w:name="Xcff2ebd0f9a09c73ef9845f725ec70406298cc5"/>
    <w:p>
      <w:pPr>
        <w:pStyle w:val="Heading2"/>
      </w:pPr>
      <w:r>
        <w:t xml:space="preserve">Ek: TopCoW modeliyle otomatik tohumlama (isteğe bağlı, ileri kullanıcılar için)</w:t>
      </w:r>
    </w:p>
    <w:p>
      <w:pPr>
        <w:pStyle w:val="FirstParagraph"/>
      </w:pPr>
      <w:hyperlink r:id="rId50">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1"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1"/>
    <w:bookmarkStart w:id="52" w:name="docker-desktop-kurulumu-bir-kez"/>
    <w:p>
      <w:pPr>
        <w:pStyle w:val="Heading3"/>
      </w:pPr>
      <w:r>
        <w:t xml:space="preserve">1. Docker Desktop kurulumu (bir kez)</w:t>
      </w:r>
    </w:p>
    <w:p>
      <w:pPr>
        <w:numPr>
          <w:ilvl w:val="0"/>
          <w:numId w:val="1004"/>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4"/>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4"/>
        </w:numPr>
        <w:pStyle w:val="Compact"/>
      </w:pPr>
      <w:r>
        <w:t xml:space="preserve">Kurulum bitince bilgisayarı yeniden başlatın.</w:t>
      </w:r>
    </w:p>
    <w:p>
      <w:pPr>
        <w:numPr>
          <w:ilvl w:val="0"/>
          <w:numId w:val="1004"/>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2"/>
    <w:bookmarkStart w:id="53" w:name="X369b9872956878cc5121302b7e5dcb7a3561b67"/>
    <w:p>
      <w:pPr>
        <w:pStyle w:val="Heading3"/>
      </w:pPr>
      <w:r>
        <w:t xml:space="preserve">2. TopCoW modelini indirme ve Docker’a yükleme (bir kez)</w:t>
      </w:r>
    </w:p>
    <w:p>
      <w:pPr>
        <w:numPr>
          <w:ilvl w:val="0"/>
          <w:numId w:val="1005"/>
        </w:numPr>
      </w:pPr>
      <w:r>
        <w:t xml:space="preserve">DKFZ takımının modelini indirin (7,3 GB):</w:t>
      </w:r>
      <w:r>
        <w:t xml:space="preserve"> </w:t>
      </w:r>
      <w:r>
        <w:t xml:space="preserve">https://zenodo.org/records/15665435/files/Team_DKFZ_topcow_seg.tar.gz?download=1</w:t>
      </w:r>
    </w:p>
    <w:p>
      <w:pPr>
        <w:numPr>
          <w:ilvl w:val="0"/>
          <w:numId w:val="1005"/>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5"/>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3"/>
    <w:bookmarkStart w:id="54" w:name="topcowu-bir-olguda-çalıştırma"/>
    <w:p>
      <w:pPr>
        <w:pStyle w:val="Heading3"/>
      </w:pPr>
      <w:r>
        <w:t xml:space="preserve">3. TopCoW’u bir olguda çalıştırma</w:t>
      </w:r>
    </w:p>
    <w:p>
      <w:pPr>
        <w:pStyle w:val="FirstParagraph"/>
      </w:pPr>
      <w:r>
        <w:t xml:space="preserve">Her olgu için ayrı bir TopCoW dosyası gerekir; bir kişinin TopCoW dosyası başka birinin görüntüsünde kullanılamaz (modül bunu fark eder ve etiketlemeyi durdurur).</w:t>
      </w:r>
    </w:p>
    <w:p>
      <w:pPr>
        <w:numPr>
          <w:ilvl w:val="0"/>
          <w:numId w:val="1006"/>
        </w:numPr>
        <w:pStyle w:val="Compact"/>
      </w:pPr>
      <w:r>
        <w:t xml:space="preserve">Docker Desktop’ı açın (simgesi görev çubuğunda yeşil</w:t>
      </w:r>
      <w:r>
        <w:t xml:space="preserve"> </w:t>
      </w:r>
      <w:r>
        <w:t xml:space="preserve">“</w:t>
      </w:r>
      <w:r>
        <w:t xml:space="preserve">running</w:t>
      </w:r>
      <w:r>
        <w:t xml:space="preserve">”</w:t>
      </w:r>
      <w:r>
        <w:t xml:space="preserve"> </w:t>
      </w:r>
      <w:r>
        <w:t xml:space="preserve">olmalı).</w:t>
      </w:r>
    </w:p>
    <w:p>
      <w:pPr>
        <w:numPr>
          <w:ilvl w:val="0"/>
          <w:numId w:val="1006"/>
        </w:numPr>
        <w:pStyle w:val="Compact"/>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6"/>
        </w:numPr>
        <w:pStyle w:val="Compact"/>
      </w:pPr>
      <w:r>
        <w:rPr>
          <w:iCs/>
          <w:i/>
        </w:rPr>
        <w:t xml:space="preserve">TopCoW labels (optional)</w:t>
      </w:r>
      <w:r>
        <w:t xml:space="preserve"> </w:t>
      </w:r>
      <w:r>
        <w:t xml:space="preserve">satırındaki</w:t>
      </w:r>
      <w:r>
        <w:t xml:space="preserve"> </w:t>
      </w:r>
      <w:r>
        <w:rPr>
          <w:bCs/>
          <w:b/>
        </w:rPr>
        <w:t xml:space="preserve">Run TopCoW…</w:t>
      </w:r>
      <w:r>
        <w:t xml:space="preserve"> </w:t>
      </w:r>
      <w:r>
        <w:t xml:space="preserve">düğmesine basın ve onaylayın.</w:t>
      </w:r>
    </w:p>
    <w:p>
      <w:pPr>
        <w:numPr>
          <w:ilvl w:val="0"/>
          <w:numId w:val="1006"/>
        </w:numPr>
        <w:pStyle w:val="Compact"/>
      </w:pPr>
      <w:r>
        <w:t xml:space="preserve">Slicer yaklaşık 2 dakika donmuş görünür; bu normaldir. Bitince sonuç TOF dosyasının yanına</w:t>
      </w:r>
      <w:r>
        <w:t xml:space="preserve"> </w:t>
      </w:r>
      <w:r>
        <w:rPr>
          <w:rStyle w:val="VerbatimChar"/>
        </w:rPr>
        <w:t xml:space="preserve">&lt;TOF adı&gt;_TopCoW.mha</w:t>
      </w:r>
      <w:r>
        <w:t xml:space="preserve"> </w:t>
      </w:r>
      <w:r>
        <w:t xml:space="preserve">olarak kaydedilir ve kutuda kendiliğinden seçilir.</w:t>
      </w:r>
    </w:p>
    <w:p>
      <w:pPr>
        <w:numPr>
          <w:ilvl w:val="0"/>
          <w:numId w:val="1006"/>
        </w:numPr>
        <w:pStyle w:val="Compact"/>
      </w:pPr>
      <w:r>
        <w:rPr>
          <w:bCs/>
          <w:b/>
        </w:rPr>
        <w:t xml:space="preserve">Extract arteries</w:t>
      </w:r>
      <w:r>
        <w:t xml:space="preserve"> </w:t>
      </w:r>
      <w:r>
        <w:t xml:space="preserve">ve</w:t>
      </w:r>
      <w:r>
        <w:t xml:space="preserve"> </w:t>
      </w:r>
      <w:r>
        <w:rPr>
          <w:bCs/>
          <w:b/>
        </w:rPr>
        <w:t xml:space="preserve">Label arteries</w:t>
      </w:r>
      <w:r>
        <w:t xml:space="preserve">’e basın.</w:t>
      </w:r>
    </w:p>
    <w:p>
      <w:pPr>
        <w:pStyle w:val="FirstParagraph"/>
      </w:pPr>
      <w:r>
        <w:t xml:space="preserve">Aynı olguyu sonra yeniden açtığınızda TopCoW’u tekrar çalıştırmanız gerekmez:</w:t>
      </w:r>
      <w:r>
        <w:t xml:space="preserve"> </w:t>
      </w:r>
      <w:r>
        <w:rPr>
          <w:bCs/>
          <w:b/>
        </w:rPr>
        <w:t xml:space="preserve">Load file…</w:t>
      </w:r>
      <w:r>
        <w:t xml:space="preserve"> </w:t>
      </w:r>
      <w:r>
        <w:t xml:space="preserve">ile TOF’un yanındaki</w:t>
      </w:r>
      <w:r>
        <w:t xml:space="preserve"> </w:t>
      </w:r>
      <w:r>
        <w:rPr>
          <w:rStyle w:val="VerbatimChar"/>
        </w:rPr>
        <w:t xml:space="preserve">_TopCoW.mha</w:t>
      </w:r>
      <w:r>
        <w:t xml:space="preserve"> </w:t>
      </w:r>
      <w:r>
        <w:t xml:space="preserve">dosyasını seçin.</w:t>
      </w:r>
    </w:p>
    <w:p>
      <w:pPr>
        <w:pStyle w:val="BodyText"/>
      </w:pPr>
      <w:r>
        <w:t xml:space="preserve">Ara dosyalar</w:t>
      </w:r>
      <w:r>
        <w:t xml:space="preserve"> </w:t>
      </w:r>
      <w:r>
        <w:rPr>
          <w:rStyle w:val="VerbatimChar"/>
        </w:rPr>
        <w:t xml:space="preserve">C:\Users\&lt;kullanıcı&gt;\WillisLabel_TopCoW\</w:t>
      </w:r>
      <w:r>
        <w:t xml:space="preserve"> </w:t>
      </w:r>
      <w:r>
        <w:t xml:space="preserve">klasöründe tutulur. Sonuç ayrıca TOF dosyasının yanına</w:t>
      </w:r>
      <w:r>
        <w:t xml:space="preserve"> </w:t>
      </w:r>
      <w:r>
        <w:rPr>
          <w:rStyle w:val="VerbatimChar"/>
        </w:rPr>
        <w:t xml:space="preserve">&lt;TOF adı&gt;_TopCoW.mha</w:t>
      </w:r>
      <w:r>
        <w:t xml:space="preserve"> </w:t>
      </w:r>
      <w:r>
        <w:t xml:space="preserve">olarak kopyalanır;</w:t>
      </w:r>
      <w:r>
        <w:t xml:space="preserve"> </w:t>
      </w:r>
      <w:r>
        <w:rPr>
          <w:bCs/>
          <w:b/>
        </w:rPr>
        <w:t xml:space="preserve">Load file…</w:t>
      </w:r>
      <w:r>
        <w:t xml:space="preserve"> </w:t>
      </w:r>
      <w:r>
        <w:t xml:space="preserve">penceresi de TOF’un klasöründe açılır, böylece bir sonraki sefer dosyayı hemen bulursunuz.</w:t>
      </w:r>
    </w:p>
    <w:bookmarkEnd w:id="54"/>
    <w:bookmarkStart w:id="55"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7"/>
        </w:numPr>
        <w:pStyle w:val="Compact"/>
      </w:pPr>
      <w:r>
        <w:rPr>
          <w:bCs/>
          <w:b/>
        </w:rPr>
        <w:t xml:space="preserve">visualised</w:t>
      </w:r>
      <w:r>
        <w:t xml:space="preserve">: segment görüntülenmiş ve iki ucundaki damara bağlı.</w:t>
      </w:r>
    </w:p>
    <w:p>
      <w:pPr>
        <w:numPr>
          <w:ilvl w:val="0"/>
          <w:numId w:val="1007"/>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7"/>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5"/>
    <w:bookmarkStart w:id="56"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6"/>
    <w:bookmarkStart w:id="57" w:name="Xb52b0e5707622c1c152a60cac00ea54801f90cb"/>
    <w:p>
      <w:pPr>
        <w:pStyle w:val="Heading3"/>
      </w:pPr>
      <w:r>
        <w:t xml:space="preserve">Distal ACA: perikallozal seyir ve orta hat damarları</w:t>
      </w:r>
    </w:p>
    <w:p>
      <w:pPr>
        <w:pStyle w:val="FirstParagraph"/>
      </w:pPr>
      <w:r>
        <w:t xml:space="preserve">Varsayılan olarak yalnız ana arterler (TopCoW sınıfları, BA/ICA/VA) ve SCA’lar adlandırılır; öteki dallar bağlı oldukları arterin adsız dalları olarak kalır.</w:t>
      </w:r>
      <w:r>
        <w:t xml:space="preserve"> </w:t>
      </w:r>
      <w:r>
        <w:rPr>
          <w:bCs/>
          <w:b/>
        </w:rPr>
        <w:t xml:space="preserve">“</w:t>
      </w:r>
      <w:r>
        <w:rPr>
          <w:bCs/>
          <w:b/>
        </w:rPr>
        <w:t xml:space="preserve">Also name distal ACA branches</w:t>
      </w:r>
      <w:r>
        <w:rPr>
          <w:bCs/>
          <w:b/>
        </w:rPr>
        <w:t xml:space="preserve">”</w:t>
      </w:r>
      <w:r>
        <w:t xml:space="preserve"> </w:t>
      </w:r>
      <w:r>
        <w:t xml:space="preserve">kutusu işaretlenirse modül A2 bölgesini ayrıca inceler:</w:t>
      </w:r>
    </w:p>
    <w:p>
      <w:pPr>
        <w:numPr>
          <w:ilvl w:val="0"/>
          <w:numId w:val="1008"/>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8"/>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8"/>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8"/>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8"/>
        </w:numPr>
        <w:pStyle w:val="Compact"/>
      </w:pPr>
      <w:r>
        <w:rPr>
          <w:bCs/>
          <w:b/>
        </w:rPr>
        <w:t xml:space="preserve">Orta hatta üçüncü perikallozal damar</w:t>
      </w:r>
      <w:r>
        <w:t xml:space="preserve"> </w:t>
      </w:r>
      <w:r>
        <w:t xml:space="preserve">kökenine göre adlandırılır:</w:t>
      </w:r>
    </w:p>
    <w:p>
      <w:pPr>
        <w:numPr>
          <w:ilvl w:val="1"/>
          <w:numId w:val="1009"/>
        </w:numPr>
        <w:pStyle w:val="Compact"/>
      </w:pPr>
      <w:r>
        <w:t xml:space="preserve">AComA’dan çıkıyorsa →</w:t>
      </w:r>
      <w:r>
        <w:t xml:space="preserve"> </w:t>
      </w:r>
      <w:r>
        <w:rPr>
          <w:iCs/>
          <w:i/>
        </w:rPr>
        <w:t xml:space="preserve">A. callosa mediana (VARYASYON)</w:t>
      </w:r>
    </w:p>
    <w:p>
      <w:pPr>
        <w:numPr>
          <w:ilvl w:val="1"/>
          <w:numId w:val="1009"/>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8"/>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8"/>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7"/>
    <w:bookmarkStart w:id="58"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8"/>
    <w:bookmarkEnd w:id="59"/>
    <w:bookmarkStart w:id="60"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10"/>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10"/>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10"/>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1"/>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1"/>
        </w:numPr>
        <w:pStyle w:val="Compact"/>
      </w:pPr>
      <w:r>
        <w:t xml:space="preserve">Yağ dokusunu biçim (tübülerlik) ölçütüyle ayıklamak.</w:t>
      </w:r>
    </w:p>
    <w:p>
      <w:pPr>
        <w:numPr>
          <w:ilvl w:val="0"/>
          <w:numId w:val="1011"/>
        </w:numPr>
        <w:pStyle w:val="Compact"/>
      </w:pPr>
      <w:r>
        <w:t xml:space="preserve">Tohumları kesit görüntüsünde de kolay yerleştirmek.</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50"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0"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2026-10-16T10:36:53Z</dcterms:created>
  <dcterms:modified xsi:type="dcterms:W3CDTF">2026-10-16T10:36:53Z</dcterms:modified>
</cp:coreProperties>
</file>

<file path=docProps/custom.xml><?xml version="1.0" encoding="utf-8"?>
<Properties xmlns="http://schemas.openxmlformats.org/officeDocument/2006/custom-properties" xmlns:vt="http://schemas.openxmlformats.org/officeDocument/2006/docPropsVTypes"/>
</file>