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7.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40" w:name="adım-6-tohum-noktalarını-yerleştirin"/>
    <w:p>
      <w:pPr>
        <w:pStyle w:val="Heading2"/>
      </w:pPr>
      <w:r>
        <w:t xml:space="preserve">Adım 6 – Tohum noktalarını yerleştirin</w:t>
      </w:r>
    </w:p>
    <w:p>
      <w:pPr>
        <w:numPr>
          <w:ilvl w:val="0"/>
          <w:numId w:val="1001"/>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1"/>
        </w:numPr>
        <w:pStyle w:val="Compact"/>
      </w:pPr>
      <w:r>
        <w:rPr>
          <w:bCs/>
          <w:b/>
        </w:rPr>
        <w:t xml:space="preserve">Place</w:t>
      </w:r>
      <w:r>
        <w:t xml:space="preserve">’e basın ve 3B görünümde (ya da kesitte) o arterin üzerine tıklayın. Nokta, seçili arterin adını otomatik olarak alır.</w:t>
      </w:r>
    </w:p>
    <w:p>
      <w:pPr>
        <w:numPr>
          <w:ilvl w:val="0"/>
          <w:numId w:val="1001"/>
        </w:numPr>
        <w:pStyle w:val="Compact"/>
      </w:pPr>
      <w:r>
        <w:t xml:space="preserve">Listeden sıradaki arteri seçip tıklamaya devam edin. Yerleştirme modu açık kalır, her seferinde Place’e basmanız gerekmez.</w:t>
      </w:r>
    </w:p>
    <w:p>
      <w:pPr>
        <w:numPr>
          <w:ilvl w:val="0"/>
          <w:numId w:val="1001"/>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8" name="Picture"/>
            <a:graphic>
              <a:graphicData uri="http://schemas.openxmlformats.org/drawingml/2006/picture">
                <pic:pic>
                  <pic:nvPicPr>
                    <pic:cNvPr descr="05_tohumlar.png" id="39" name="Picture"/>
                    <pic:cNvPicPr>
                      <a:picLocks noChangeArrowheads="1" noChangeAspect="1"/>
                    </pic:cNvPicPr>
                  </pic:nvPicPr>
                  <pic:blipFill>
                    <a:blip r:embed="rId37"/>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0"/>
    <w:bookmarkStart w:id="47" w:name="adım-7-etiketleyin"/>
    <w:p>
      <w:pPr>
        <w:pStyle w:val="Heading2"/>
      </w:pPr>
      <w:r>
        <w:t xml:space="preserve">Adım 7 – Etiketleyin</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2" name="Picture"/>
            <a:graphic>
              <a:graphicData uri="http://schemas.openxmlformats.org/drawingml/2006/picture">
                <pic:pic>
                  <pic:nvPicPr>
                    <pic:cNvPr descr="06_etiketli_sonuc.png" id="43" name="Picture"/>
                    <pic:cNvPicPr>
                      <a:picLocks noChangeArrowheads="1" noChangeAspect="1"/>
                    </pic:cNvPicPr>
                  </pic:nvPicPr>
                  <pic:blipFill>
                    <a:blip r:embed="rId41"/>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5" name="Picture"/>
            <a:graphic>
              <a:graphicData uri="http://schemas.openxmlformats.org/drawingml/2006/picture">
                <pic:pic>
                  <pic:nvPicPr>
                    <pic:cNvPr descr="07_etiketli_dortlu.png" id="46" name="Picture"/>
                    <pic:cNvPicPr>
                      <a:picLocks noChangeArrowheads="1" noChangeAspect="1"/>
                    </pic:cNvPicPr>
                  </pic:nvPicPr>
                  <pic:blipFill>
                    <a:blip r:embed="rId4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7"/>
    <w:bookmarkStart w:id="48" w:name="adım-8-dışa-aktarın-3b-baskı-için"/>
    <w:p>
      <w:pPr>
        <w:pStyle w:val="Heading2"/>
      </w:pPr>
      <w:r>
        <w:t xml:space="preserve">Adım 8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48"/>
    <w:bookmarkStart w:id="58" w:name="Xcff2ebd0f9a09c73ef9845f725ec70406298cc5"/>
    <w:p>
      <w:pPr>
        <w:pStyle w:val="Heading2"/>
      </w:pPr>
      <w:r>
        <w:t xml:space="preserve">Ek: TopCoW modeliyle otomatik tohumlama (isteğe bağlı, ileri kullanıcılar için)</w:t>
      </w:r>
    </w:p>
    <w:p>
      <w:pPr>
        <w:pStyle w:val="FirstParagraph"/>
      </w:pPr>
      <w:hyperlink r:id="rId49">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 bu dosyayı</w:t>
      </w:r>
      <w:r>
        <w:t xml:space="preserve"> </w:t>
      </w:r>
      <w:r>
        <w:rPr>
          <w:bCs/>
          <w:b/>
        </w:rPr>
        <w:t xml:space="preserve">etiket haritası</w:t>
      </w:r>
      <w:r>
        <w:t xml:space="preserve"> </w:t>
      </w:r>
      <w:r>
        <w:t xml:space="preserve">(label map) olarak yükleyip</w:t>
      </w:r>
      <w:r>
        <w:t xml:space="preserve"> </w:t>
      </w:r>
      <w:r>
        <w:rPr>
          <w:iCs/>
          <w:i/>
        </w:rPr>
        <w:t xml:space="preserve">TopCoW labels (optional)</w:t>
      </w:r>
      <w:r>
        <w:t xml:space="preserve"> </w:t>
      </w:r>
      <w:r>
        <w:t xml:space="preserve">kutusunda seçer.</w:t>
      </w:r>
    </w:p>
    <w:bookmarkStart w:id="50"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0"/>
    <w:bookmarkStart w:id="51" w:name="docker-desktop-kurulumu-bir-kez"/>
    <w:p>
      <w:pPr>
        <w:pStyle w:val="Heading3"/>
      </w:pPr>
      <w:r>
        <w:t xml:space="preserve">1. Docker Desktop kurulumu (bir kez)</w:t>
      </w:r>
    </w:p>
    <w:p>
      <w:pPr>
        <w:numPr>
          <w:ilvl w:val="0"/>
          <w:numId w:val="1002"/>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2"/>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2"/>
        </w:numPr>
        <w:pStyle w:val="Compact"/>
      </w:pPr>
      <w:r>
        <w:t xml:space="preserve">Kurulum bitince bilgisayarı yeniden başlatın.</w:t>
      </w:r>
    </w:p>
    <w:p>
      <w:pPr>
        <w:numPr>
          <w:ilvl w:val="0"/>
          <w:numId w:val="1002"/>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1"/>
    <w:bookmarkStart w:id="52" w:name="X369b9872956878cc5121302b7e5dcb7a3561b67"/>
    <w:p>
      <w:pPr>
        <w:pStyle w:val="Heading3"/>
      </w:pPr>
      <w:r>
        <w:t xml:space="preserve">2. TopCoW modelini indirme ve Docker’a yükleme (bir kez)</w:t>
      </w:r>
    </w:p>
    <w:p>
      <w:pPr>
        <w:numPr>
          <w:ilvl w:val="0"/>
          <w:numId w:val="1003"/>
        </w:numPr>
      </w:pPr>
      <w:r>
        <w:t xml:space="preserve">DKFZ takımının modelini indirin (7,3 GB):</w:t>
      </w:r>
      <w:r>
        <w:t xml:space="preserve"> </w:t>
      </w:r>
      <w:r>
        <w:t xml:space="preserve">https://zenodo.org/records/15665435/files/Team_DKFZ_topcow_seg.tar.gz?download=1</w:t>
      </w:r>
    </w:p>
    <w:p>
      <w:pPr>
        <w:numPr>
          <w:ilvl w:val="0"/>
          <w:numId w:val="1003"/>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3"/>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2"/>
    <w:bookmarkStart w:id="53" w:name="topcowu-bir-olguda-çalıştırma"/>
    <w:p>
      <w:pPr>
        <w:pStyle w:val="Heading3"/>
      </w:pPr>
      <w:r>
        <w:t xml:space="preserve">3. TopCoW’u bir olguda çalıştırma</w:t>
      </w:r>
    </w:p>
    <w:p>
      <w:pPr>
        <w:numPr>
          <w:ilvl w:val="0"/>
          <w:numId w:val="1004"/>
        </w:numPr>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4"/>
        </w:numPr>
      </w:pPr>
      <w:r>
        <w:rPr>
          <w:bCs/>
          <w:b/>
        </w:rPr>
        <w:t xml:space="preserve">View → Python Console</w:t>
      </w:r>
      <w:r>
        <w:t xml:space="preserve">’a şunu yazın (yol, SlicerWillisLabel klasörünüzün yeri olmalı):</w:t>
      </w:r>
    </w:p>
    <w:p>
      <w:pPr>
        <w:numPr>
          <w:ilvl w:val="0"/>
          <w:numId w:val="1000"/>
        </w:numPr>
        <w:pStyle w:val="SourceCode"/>
      </w:pPr>
      <w:r>
        <w:rPr>
          <w:rStyle w:val="VerbatimChar"/>
        </w:rPr>
        <w:t xml:space="preserve">exec(open(r"C:\Users\LENOVO\Desktop\SlicerWillisLabel\Docs\topcow_calistir.py", encoding="utf-8").read())</w:t>
      </w:r>
    </w:p>
    <w:p>
      <w:pPr>
        <w:numPr>
          <w:ilvl w:val="0"/>
          <w:numId w:val="1004"/>
        </w:numPr>
      </w:pPr>
      <w:r>
        <w:t xml:space="preserve">Slicer 2–3 dakika donmuş görünebilir; bu normaldir. Sonunda konsolda</w:t>
      </w:r>
      <w:r>
        <w:t xml:space="preserve"> </w:t>
      </w:r>
      <w:r>
        <w:rPr>
          <w:rStyle w:val="VerbatimChar"/>
        </w:rPr>
        <w:t xml:space="preserve">TopCoW tamamlandı</w:t>
      </w:r>
      <w:r>
        <w:t xml:space="preserve"> </w:t>
      </w:r>
      <w:r>
        <w:t xml:space="preserve">yazar ve sonuç</w:t>
      </w:r>
      <w:r>
        <w:t xml:space="preserve"> </w:t>
      </w:r>
      <w:r>
        <w:rPr>
          <w:iCs/>
          <w:i/>
        </w:rPr>
        <w:t xml:space="preserve">TopCoW labels (optional)</w:t>
      </w:r>
      <w:r>
        <w:t xml:space="preserve"> </w:t>
      </w:r>
      <w:r>
        <w:t xml:space="preserve">kutusuna kendiliğinden seçilir.</w:t>
      </w:r>
    </w:p>
    <w:p>
      <w:pPr>
        <w:numPr>
          <w:ilvl w:val="0"/>
          <w:numId w:val="1004"/>
        </w:numPr>
      </w:pPr>
      <w:r>
        <w:rPr>
          <w:bCs/>
          <w:b/>
        </w:rPr>
        <w:t xml:space="preserve">Extract arteries</w:t>
      </w:r>
      <w:r>
        <w:t xml:space="preserve"> </w:t>
      </w:r>
      <w:r>
        <w:t xml:space="preserve">ve</w:t>
      </w:r>
      <w:r>
        <w:t xml:space="preserve"> </w:t>
      </w:r>
      <w:r>
        <w:rPr>
          <w:bCs/>
          <w:b/>
        </w:rPr>
        <w:t xml:space="preserve">Label arteries</w:t>
      </w:r>
      <w:r>
        <w:t xml:space="preserve">’e basın. İsterseniz önce VA, SCA, AICA, PICA için elle nokta ekleyin.</w:t>
      </w:r>
    </w:p>
    <w:p>
      <w:pPr>
        <w:pStyle w:val="FirstParagraph"/>
      </w:pPr>
      <w:r>
        <w:t xml:space="preserve">Ara dosyalar</w:t>
      </w:r>
      <w:r>
        <w:t xml:space="preserve"> </w:t>
      </w:r>
      <w:r>
        <w:rPr>
          <w:rStyle w:val="VerbatimChar"/>
        </w:rPr>
        <w:t xml:space="preserve">C:\Users\&lt;kullanıcı&gt;\WillisLabel_TopCoW\</w:t>
      </w:r>
      <w:r>
        <w:t xml:space="preserve"> </w:t>
      </w:r>
      <w:r>
        <w:t xml:space="preserve">klasöründe tutulur.</w:t>
      </w:r>
    </w:p>
    <w:bookmarkEnd w:id="53"/>
    <w:bookmarkStart w:id="54"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5"/>
        </w:numPr>
        <w:pStyle w:val="Compact"/>
      </w:pPr>
      <w:r>
        <w:rPr>
          <w:bCs/>
          <w:b/>
        </w:rPr>
        <w:t xml:space="preserve">visualised</w:t>
      </w:r>
      <w:r>
        <w:t xml:space="preserve">: segment görüntülenmiş ve iki ucundaki damara bağlı.</w:t>
      </w:r>
    </w:p>
    <w:p>
      <w:pPr>
        <w:numPr>
          <w:ilvl w:val="0"/>
          <w:numId w:val="1005"/>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5"/>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4"/>
    <w:bookmarkStart w:id="55" w:name="a.-superior-cerebelli-sca"/>
    <w:p>
      <w:pPr>
        <w:pStyle w:val="Heading3"/>
      </w:pPr>
      <w:r>
        <w:t xml:space="preserve">A. superior cerebelli (SCA)</w:t>
      </w:r>
    </w:p>
    <w:p>
      <w:pPr>
        <w:pStyle w:val="FirstParagraph"/>
      </w:pPr>
      <w:r>
        <w:t xml:space="preserve">TopCoW’da SCA sınıfı yoktur. Modül, baziller arterden P1 ayrımının en fazla 10 mm altından çıkan, en az 6 mm yana giden ve baziller arterin önüne geçmeyen dalı</w:t>
      </w:r>
      <w:r>
        <w:t xml:space="preserve"> </w:t>
      </w:r>
      <w:r>
        <w:rPr>
          <w:iCs/>
          <w:i/>
        </w:rPr>
        <w:t xml:space="preserve">SCA R / SCA L</w:t>
      </w:r>
      <w:r>
        <w:t xml:space="preserve"> </w:t>
      </w:r>
      <w:r>
        <w:t xml:space="preserve">olarak adlandırır (SCA, a. cerebri posterior’un hemen altından çıkar). Daha aşağıdan çıkan dallar (AICA düzeyi) adlandırılmaz. Elle</w:t>
      </w:r>
      <w:r>
        <w:t xml:space="preserve"> </w:t>
      </w:r>
      <w:r>
        <w:rPr>
          <w:rStyle w:val="VerbatimChar"/>
        </w:rPr>
        <w:t xml:space="preserve">SCA</w:t>
      </w:r>
      <w:r>
        <w:t xml:space="preserve"> </w:t>
      </w:r>
      <w:r>
        <w:t xml:space="preserve">tohumu koyduysanız modül o tarafa dokunmaz. Aynı tarafta bu ölçütlere uyan birden fazla dal varsa raporda</w:t>
      </w:r>
      <w:r>
        <w:t xml:space="preserve"> </w:t>
      </w:r>
      <w:r>
        <w:t xml:space="preserve">“</w:t>
      </w:r>
      <w:r>
        <w:t xml:space="preserve">duplicated SCA?</w:t>
      </w:r>
      <w:r>
        <w:t xml:space="preserve">”</w:t>
      </w:r>
      <w:r>
        <w:t xml:space="preserve"> </w:t>
      </w:r>
      <w:r>
        <w:t xml:space="preserve">notu çıkar.</w:t>
      </w:r>
    </w:p>
    <w:bookmarkEnd w:id="55"/>
    <w:bookmarkStart w:id="56" w:name="Xb52b0e5707622c1c152a60cac00ea54801f90cb"/>
    <w:p>
      <w:pPr>
        <w:pStyle w:val="Heading3"/>
      </w:pPr>
      <w:r>
        <w:t xml:space="preserve">Distal ACA: perikallozal seyir ve orta hat damarları</w:t>
      </w:r>
    </w:p>
    <w:p>
      <w:pPr>
        <w:pStyle w:val="FirstParagraph"/>
      </w:pPr>
      <w:r>
        <w:t xml:space="preserve">Etiketlemeden sonra modül A2 bölgesini ayrıca inceler (TopCoW kullanılsın ya da kullanılmasın):</w:t>
      </w:r>
    </w:p>
    <w:p>
      <w:pPr>
        <w:numPr>
          <w:ilvl w:val="0"/>
          <w:numId w:val="1006"/>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6"/>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6"/>
        </w:numPr>
        <w:pStyle w:val="Compact"/>
      </w:pPr>
      <w:r>
        <w:rPr>
          <w:bCs/>
          <w:b/>
        </w:rPr>
        <w:t xml:space="preserve">Aynı damarın üstteki arka dalı.</w:t>
      </w:r>
      <w:r>
        <w:t xml:space="preserve"> </w:t>
      </w:r>
      <w:r>
        <w:t xml:space="preserve">Perikallozal damardan genu’dan sonra ayrılan ve onun üstünde arkaya giden dal ayrı bir damar sayılmaz ve adlandırılmaz;</w:t>
      </w:r>
      <w:r>
        <w:t xml:space="preserve"> </w:t>
      </w:r>
      <w:r>
        <w:t xml:space="preserve">“</w:t>
      </w:r>
      <w:r>
        <w:t xml:space="preserve">A2 … rami</w:t>
      </w:r>
      <w:r>
        <w:t xml:space="preserve">”</w:t>
      </w:r>
      <w:r>
        <w:t xml:space="preserve"> </w:t>
      </w:r>
      <w:r>
        <w:t xml:space="preserve">olarak gösterilir.</w:t>
      </w:r>
    </w:p>
    <w:p>
      <w:pPr>
        <w:numPr>
          <w:ilvl w:val="0"/>
          <w:numId w:val="1006"/>
        </w:numPr>
        <w:pStyle w:val="Compact"/>
      </w:pPr>
      <w:r>
        <w:rPr>
          <w:bCs/>
          <w:b/>
        </w:rPr>
        <w:t xml:space="preserve">Uzak arka dallar (ör. PCA’nın parietooksipital dalı).</w:t>
      </w:r>
      <w:r>
        <w:t xml:space="preserve"> </w:t>
      </w:r>
      <w:r>
        <w:t xml:space="preserve">TOF’ta uzak dallar zayıf sinyal verir ve ana damarla bağlantıları kesik görünebilir. Etiketleme sırasında</w:t>
      </w:r>
      <w:r>
        <w:t xml:space="preserve"> </w:t>
      </w:r>
      <w:r>
        <w:rPr>
          <w:bCs/>
          <w:b/>
        </w:rPr>
        <w:t xml:space="preserve">“</w:t>
      </w:r>
      <w:r>
        <w:rPr>
          <w:bCs/>
          <w:b/>
        </w:rPr>
        <w:t xml:space="preserve">Connect faint distal branches (bridge gaps)</w:t>
      </w:r>
      <w:r>
        <w:rPr>
          <w:bCs/>
          <w:b/>
        </w:rPr>
        <w:t xml:space="preserve">”</w:t>
      </w:r>
      <w:r>
        <w:t xml:space="preserve"> </w:t>
      </w:r>
      <w:r>
        <w:t xml:space="preserve">seçeneği açıksa (varsayılan), ince ve kopuk parçalar ağaca en parlak yol üzerinden (en fazla 25 mm) bağlanır. Kalın kopuk parçalar (çoğunlukla yağ) bağlanmaz. Rapor kaç parçanın bağlandığını yazar. Yine de bağlanamayan parçalar</w:t>
      </w:r>
      <w:r>
        <w:t xml:space="preserve"> </w:t>
      </w:r>
      <w:r>
        <w:rPr>
          <w:iCs/>
          <w:i/>
        </w:rPr>
        <w:t xml:space="preserve">Unconnected</w:t>
      </w:r>
      <w:r>
        <w:t xml:space="preserve"> </w:t>
      </w:r>
      <w:r>
        <w:t xml:space="preserve">(gri) segmentine düşer; böyle bir dala tohum koyarsanız (ör.</w:t>
      </w:r>
      <w:r>
        <w:t xml:space="preserve"> </w:t>
      </w:r>
      <w:r>
        <w:rPr>
          <w:rStyle w:val="VerbatimChar"/>
        </w:rPr>
        <w:t xml:space="preserve">P2 R</w:t>
      </w:r>
      <w:r>
        <w:t xml:space="preserve">) o parça bu adla etiketlenir.</w:t>
      </w:r>
    </w:p>
    <w:p>
      <w:pPr>
        <w:numPr>
          <w:ilvl w:val="0"/>
          <w:numId w:val="1006"/>
        </w:numPr>
        <w:pStyle w:val="Compact"/>
      </w:pPr>
      <w:r>
        <w:rPr>
          <w:bCs/>
          <w:b/>
        </w:rPr>
        <w:t xml:space="preserve">Orta hatta üçüncü perikallozal damar</w:t>
      </w:r>
      <w:r>
        <w:t xml:space="preserve"> </w:t>
      </w:r>
      <w:r>
        <w:t xml:space="preserve">kökenine göre adlandırılır:</w:t>
      </w:r>
    </w:p>
    <w:p>
      <w:pPr>
        <w:numPr>
          <w:ilvl w:val="1"/>
          <w:numId w:val="1007"/>
        </w:numPr>
        <w:pStyle w:val="Compact"/>
      </w:pPr>
      <w:r>
        <w:t xml:space="preserve">AComA’dan çıkıyorsa →</w:t>
      </w:r>
      <w:r>
        <w:t xml:space="preserve"> </w:t>
      </w:r>
      <w:r>
        <w:rPr>
          <w:iCs/>
          <w:i/>
        </w:rPr>
        <w:t xml:space="preserve">A. callosa mediana (VARYASYON)</w:t>
      </w:r>
    </w:p>
    <w:p>
      <w:pPr>
        <w:numPr>
          <w:ilvl w:val="1"/>
          <w:numId w:val="1007"/>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6"/>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6"/>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6"/>
    <w:bookmarkStart w:id="57"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7"/>
    <w:bookmarkEnd w:id="58"/>
    <w:bookmarkStart w:id="59"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08"/>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08"/>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08"/>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09"/>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09"/>
        </w:numPr>
        <w:pStyle w:val="Compact"/>
      </w:pPr>
      <w:r>
        <w:t xml:space="preserve">Yağ dokusunu biçim (tübülerlik) ölçütüyle ayıklamak.</w:t>
      </w:r>
    </w:p>
    <w:p>
      <w:pPr>
        <w:numPr>
          <w:ilvl w:val="0"/>
          <w:numId w:val="1009"/>
        </w:numPr>
        <w:pStyle w:val="Compact"/>
      </w:pPr>
      <w:r>
        <w:t xml:space="preserve">Tohumları kesit görüntüsünde de kolay yerleştirmek.</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49"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49"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2026-10-15T19:32:38Z</dcterms:created>
  <dcterms:modified xsi:type="dcterms:W3CDTF">2026-10-15T19:32:38Z</dcterms:modified>
</cp:coreProperties>
</file>

<file path=docProps/custom.xml><?xml version="1.0" encoding="utf-8"?>
<Properties xmlns="http://schemas.openxmlformats.org/officeDocument/2006/custom-properties" xmlns:vt="http://schemas.openxmlformats.org/officeDocument/2006/docPropsVTypes"/>
</file>