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8.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37" w:name="Xb9ddfbdca9a5e0afc505dfaf733cb9fa0718bcd"/>
    <w:p>
      <w:pPr>
        <w:pStyle w:val="Heading2"/>
      </w:pPr>
      <w:r>
        <w:t xml:space="preserve">Adım 6 – Dallara ayırın ve adlandırın (önerilen yol)</w:t>
      </w:r>
    </w:p>
    <w:p>
      <w:pPr>
        <w:pStyle w:val="FirstParagraph"/>
      </w:pPr>
      <w:r>
        <w:t xml:space="preserve">Bu yolda modül yalnızca geometriyi yapar; adları anatomist verir. TopCoW ve Docker gerekmez.</w:t>
      </w:r>
    </w:p>
    <w:p>
      <w:pPr>
        <w:numPr>
          <w:ilvl w:val="0"/>
          <w:numId w:val="1001"/>
        </w:numPr>
        <w:pStyle w:val="Compact"/>
      </w:pPr>
      <w:r>
        <w:rPr>
          <w:bCs/>
          <w:b/>
        </w:rPr>
        <w:t xml:space="preserve">2. Branches and names</w:t>
      </w:r>
      <w:r>
        <w:t xml:space="preserve"> </w:t>
      </w:r>
      <w:r>
        <w:t xml:space="preserve">bölümünde</w:t>
      </w:r>
      <w:r>
        <w:t xml:space="preserve"> </w:t>
      </w:r>
      <w:r>
        <w:rPr>
          <w:bCs/>
          <w:b/>
        </w:rPr>
        <w:t xml:space="preserve">Split into branches</w:t>
      </w:r>
      <w:r>
        <w:t xml:space="preserve">’e basın. Damar ağacı çatallanma noktalarından kesilir; her dal bir numara ve renk alır (</w:t>
      </w:r>
      <w:r>
        <w:t xml:space="preserve">“</w:t>
      </w:r>
      <w:r>
        <w:t xml:space="preserve">Branch 37</w:t>
      </w:r>
      <w:r>
        <w:t xml:space="preserve">”</w:t>
      </w:r>
      <w:r>
        <w:t xml:space="preserve"> </w:t>
      </w:r>
      <w:r>
        <w:t xml:space="preserve">gibi). Bir olgu birkaç saniye sürer.</w:t>
      </w:r>
    </w:p>
    <w:p>
      <w:pPr>
        <w:numPr>
          <w:ilvl w:val="0"/>
          <w:numId w:val="1001"/>
        </w:numPr>
        <w:pStyle w:val="Compact"/>
      </w:pPr>
      <w:r>
        <w:rPr>
          <w:bCs/>
          <w:b/>
        </w:rPr>
        <w:t xml:space="preserve">Name</w:t>
      </w:r>
      <w:r>
        <w:t xml:space="preserve"> </w:t>
      </w:r>
      <w:r>
        <w:t xml:space="preserve">kutusundan adı seçin (listede yoksa yazın),</w:t>
      </w:r>
      <w:r>
        <w:t xml:space="preserve"> </w:t>
      </w:r>
      <w:r>
        <w:rPr>
          <w:bCs/>
          <w:b/>
        </w:rPr>
        <w:t xml:space="preserve">Name branch</w:t>
      </w:r>
      <w:r>
        <w:t xml:space="preserve">’e basın ve dala tıklayın. Tıklama kipi açık kalır: aynı adı birden çok dala art arda verebilirsiniz. Başka ada geçmek için kutudan yeni adı seçmeniz yeter; durdurmak için Esc ya da sağ tık.</w:t>
      </w:r>
    </w:p>
    <w:p>
      <w:pPr>
        <w:numPr>
          <w:ilvl w:val="0"/>
          <w:numId w:val="1001"/>
        </w:numPr>
        <w:pStyle w:val="Compact"/>
      </w:pPr>
      <w:r>
        <w:t xml:space="preserve">Aynı adı alan dallar tek segmentte birleşir (örneğin MCA’nın gövdesi ve dalları). Yanlış adlandırdıysanız</w:t>
      </w:r>
      <w:r>
        <w:t xml:space="preserve"> </w:t>
      </w:r>
      <w:r>
        <w:rPr>
          <w:bCs/>
          <w:b/>
        </w:rPr>
        <w:t xml:space="preserve">Undo</w:t>
      </w:r>
      <w:r>
        <w:t xml:space="preserve">, ya da dala</w:t>
      </w:r>
      <w:r>
        <w:t xml:space="preserve"> </w:t>
      </w:r>
      <w:r>
        <w:t xml:space="preserve">“</w:t>
      </w:r>
      <w:r>
        <w:t xml:space="preserve">(unnamed)</w:t>
      </w:r>
      <w:r>
        <w:t xml:space="preserve">”</w:t>
      </w:r>
      <w:r>
        <w:t xml:space="preserve"> </w:t>
      </w:r>
      <w:r>
        <w:t xml:space="preserve">verin.</w:t>
      </w:r>
    </w:p>
    <w:p>
      <w:pPr>
        <w:numPr>
          <w:ilvl w:val="0"/>
          <w:numId w:val="1001"/>
        </w:numPr>
        <w:pStyle w:val="Compact"/>
      </w:pPr>
      <w:r>
        <w:t xml:space="preserve">Kafatası dışındaki parçalara</w:t>
      </w:r>
      <w:r>
        <w:t xml:space="preserve"> </w:t>
      </w:r>
      <w:r>
        <w:rPr>
          <w:rStyle w:val="VerbatimChar"/>
        </w:rPr>
        <w:t xml:space="preserve">ECA R/L</w:t>
      </w:r>
      <w:r>
        <w:t xml:space="preserve">, yağ dokusuna</w:t>
      </w:r>
      <w:r>
        <w:t xml:space="preserve"> </w:t>
      </w:r>
      <w:r>
        <w:rPr>
          <w:rStyle w:val="VerbatimChar"/>
        </w:rPr>
        <w:t xml:space="preserve">Non-vascular?</w:t>
      </w:r>
      <w:r>
        <w:t xml:space="preserve"> </w:t>
      </w:r>
      <w:r>
        <w:t xml:space="preserve">adını verebilirsiniz.</w:t>
      </w:r>
    </w:p>
    <w:p>
      <w:pPr>
        <w:numPr>
          <w:ilvl w:val="0"/>
          <w:numId w:val="1001"/>
        </w:numPr>
        <w:pStyle w:val="Compact"/>
      </w:pPr>
      <w:r>
        <w:t xml:space="preserve">Yalnızca ilgilendiğiniz dalları adlandırın; geri kalanlar numaralı kalır.</w:t>
      </w:r>
      <w:r>
        <w:t xml:space="preserve"> </w:t>
      </w:r>
      <w:r>
        <w:rPr>
          <w:bCs/>
          <w:b/>
        </w:rPr>
        <w:t xml:space="preserve">Volume table</w:t>
      </w:r>
      <w:r>
        <w:t xml:space="preserve"> </w:t>
      </w:r>
      <w:r>
        <w:t xml:space="preserve">adlandırılmış damarların ve adsız dalların toplam hacmini verir.</w:t>
      </w:r>
    </w:p>
    <w:p>
      <w:pPr>
        <w:numPr>
          <w:ilvl w:val="0"/>
          <w:numId w:val="1001"/>
        </w:numPr>
        <w:pStyle w:val="Compact"/>
      </w:pPr>
      <w:r>
        <w:t xml:space="preserve">İsteğe bağlı: TopCoW dosyanız varsa (</w:t>
      </w:r>
      <w:r>
        <w:rPr>
          <w:bCs/>
          <w:b/>
        </w:rPr>
        <w:t xml:space="preserve">Load file…</w:t>
      </w:r>
      <w:r>
        <w:t xml:space="preserve"> </w:t>
      </w:r>
      <w:r>
        <w:t xml:space="preserve">ya da</w:t>
      </w:r>
      <w:r>
        <w:t xml:space="preserve"> </w:t>
      </w:r>
      <w:r>
        <w:rPr>
          <w:bCs/>
          <w:b/>
        </w:rPr>
        <w:t xml:space="preserve">Run TopCoW…</w:t>
      </w:r>
      <w:r>
        <w:t xml:space="preserve">),</w:t>
      </w:r>
      <w:r>
        <w:t xml:space="preserve"> </w:t>
      </w:r>
      <w:r>
        <w:rPr>
          <w:bCs/>
          <w:b/>
        </w:rPr>
        <w:t xml:space="preserve">Suggest names from TopCoW</w:t>
      </w:r>
      <w:r>
        <w:t xml:space="preserve"> </w:t>
      </w:r>
      <w:r>
        <w:t xml:space="preserve">büyük damarlar için soluk renkli öneriler koyar (</w:t>
      </w:r>
      <w:r>
        <w:rPr>
          <w:rStyle w:val="VerbatimChar"/>
        </w:rPr>
        <w:t xml:space="preserve">MCA R ?</w:t>
      </w:r>
      <w:r>
        <w:t xml:space="preserve"> </w:t>
      </w:r>
      <w:r>
        <w:t xml:space="preserve">gibi). Öneriyi siz aynı adla adlandırdığınızda kesinleşir; modül sizin verdiğiniz bir adı hiçbir zaman değiştirmez.</w:t>
      </w:r>
    </w:p>
    <w:p>
      <w:pPr>
        <w:pStyle w:val="FirstParagraph"/>
      </w:pPr>
      <w:r>
        <w:t xml:space="preserve">Her adlandırma segmentasyonun içinde kayıt olarak saklanır (</w:t>
      </w:r>
      <w:r>
        <w:rPr>
          <w:rStyle w:val="VerbatimChar"/>
        </w:rPr>
        <w:t xml:space="preserve">WillisLabel.names</w:t>
      </w:r>
      <w:r>
        <w:t xml:space="preserve">).</w:t>
      </w:r>
    </w:p>
    <w:p>
      <w:pPr>
        <w:pStyle w:val="BlockText"/>
      </w:pPr>
      <w:r>
        <w:t xml:space="preserve">Aşağıdaki 7–9. adımlar (tohum, otomatik etiketleme, düzeltme) eski, ileri düzey yoldur; panelde A, B, C bölümleri olarak kapalı durur.</w:t>
      </w:r>
    </w:p>
    <w:bookmarkEnd w:id="37"/>
    <w:bookmarkStart w:id="41" w:name="X7f6d9146f2503bcdd27ad5f22de678e6c0f3836"/>
    <w:p>
      <w:pPr>
        <w:pStyle w:val="Heading2"/>
      </w:pPr>
      <w:r>
        <w:t xml:space="preserve">Adım 7 – Tohum noktalarını yerleştirin (ileri düzey)</w:t>
      </w:r>
    </w:p>
    <w:p>
      <w:pPr>
        <w:numPr>
          <w:ilvl w:val="0"/>
          <w:numId w:val="1002"/>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2"/>
        </w:numPr>
        <w:pStyle w:val="Compact"/>
      </w:pPr>
      <w:r>
        <w:rPr>
          <w:bCs/>
          <w:b/>
        </w:rPr>
        <w:t xml:space="preserve">Place</w:t>
      </w:r>
      <w:r>
        <w:t xml:space="preserve">’e basın ve 3B görünümde (ya da kesitte) o arterin üzerine tıklayın. Nokta, seçili arterin adını otomatik olarak alır.</w:t>
      </w:r>
    </w:p>
    <w:p>
      <w:pPr>
        <w:numPr>
          <w:ilvl w:val="0"/>
          <w:numId w:val="1002"/>
        </w:numPr>
        <w:pStyle w:val="Compact"/>
      </w:pPr>
      <w:r>
        <w:t xml:space="preserve">Listeden sıradaki arteri seçip tıklamaya devam edin. Yerleştirme modu açık kalır, her seferinde Place’e basmanız gerekmez.</w:t>
      </w:r>
    </w:p>
    <w:p>
      <w:pPr>
        <w:numPr>
          <w:ilvl w:val="0"/>
          <w:numId w:val="1002"/>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9" name="Picture"/>
            <a:graphic>
              <a:graphicData uri="http://schemas.openxmlformats.org/drawingml/2006/picture">
                <pic:pic>
                  <pic:nvPicPr>
                    <pic:cNvPr descr="05_tohumlar.png" id="40" name="Picture"/>
                    <pic:cNvPicPr>
                      <a:picLocks noChangeArrowheads="1" noChangeAspect="1"/>
                    </pic:cNvPicPr>
                  </pic:nvPicPr>
                  <pic:blipFill>
                    <a:blip r:embed="rId3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1"/>
    <w:bookmarkStart w:id="48" w:name="adım-8-etiketleyin-ileri-düzey"/>
    <w:p>
      <w:pPr>
        <w:pStyle w:val="Heading2"/>
      </w:pPr>
      <w:r>
        <w:t xml:space="preserve">Adım 8 – Etiketleyin (ileri düzey)</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3" name="Picture"/>
            <a:graphic>
              <a:graphicData uri="http://schemas.openxmlformats.org/drawingml/2006/picture">
                <pic:pic>
                  <pic:nvPicPr>
                    <pic:cNvPr descr="06_etiketli_sonuc.png" id="44" name="Picture"/>
                    <pic:cNvPicPr>
                      <a:picLocks noChangeArrowheads="1" noChangeAspect="1"/>
                    </pic:cNvPicPr>
                  </pic:nvPicPr>
                  <pic:blipFill>
                    <a:blip r:embed="rId4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6" name="Picture"/>
            <a:graphic>
              <a:graphicData uri="http://schemas.openxmlformats.org/drawingml/2006/picture">
                <pic:pic>
                  <pic:nvPicPr>
                    <pic:cNvPr descr="07_etiketli_dortlu.png" id="47" name="Picture"/>
                    <pic:cNvPicPr>
                      <a:picLocks noChangeArrowheads="1" noChangeAspect="1"/>
                    </pic:cNvPicPr>
                  </pic:nvPicPr>
                  <pic:blipFill>
                    <a:blip r:embed="rId45"/>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8"/>
    <w:bookmarkStart w:id="49" w:name="X34c7c65f54805e8121e7d888d0aa060a3a69bca"/>
    <w:p>
      <w:pPr>
        <w:pStyle w:val="Heading2"/>
      </w:pPr>
      <w:r>
        <w:t xml:space="preserve">Adım 9 – Otomatik etiketleri düzeltin (ileri düzey)</w:t>
      </w:r>
    </w:p>
    <w:p>
      <w:pPr>
        <w:pStyle w:val="FirstParagraph"/>
      </w:pPr>
      <w:r>
        <w:t xml:space="preserve">Otomatik etiketler bir öneridir; son kararı anatomist verir.</w:t>
      </w:r>
    </w:p>
    <w:p>
      <w:pPr>
        <w:numPr>
          <w:ilvl w:val="0"/>
          <w:numId w:val="1003"/>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3"/>
        </w:numPr>
        <w:pStyle w:val="Compact"/>
      </w:pPr>
      <w:r>
        <w:rPr>
          <w:bCs/>
          <w:b/>
        </w:rPr>
        <w:t xml:space="preserve">Mode</w:t>
      </w:r>
      <w:r>
        <w:t xml:space="preserve"> </w:t>
      </w:r>
      <w:r>
        <w:t xml:space="preserve">kutusunda iki seçenek var:</w:t>
      </w:r>
    </w:p>
    <w:p>
      <w:pPr>
        <w:numPr>
          <w:ilvl w:val="1"/>
          <w:numId w:val="1004"/>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4"/>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3"/>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9"/>
    <w:bookmarkStart w:id="50" w:name="adım-10-dışa-aktarın-3b-baskı-için"/>
    <w:p>
      <w:pPr>
        <w:pStyle w:val="Heading2"/>
      </w:pPr>
      <w:r>
        <w:t xml:space="preserve">Adım 10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50"/>
    <w:bookmarkStart w:id="60" w:name="Xcff2ebd0f9a09c73ef9845f725ec70406298cc5"/>
    <w:p>
      <w:pPr>
        <w:pStyle w:val="Heading2"/>
      </w:pPr>
      <w:r>
        <w:t xml:space="preserve">Ek: TopCoW modeliyle otomatik tohumlama (isteğe bağlı, ileri kullanıcılar için)</w:t>
      </w:r>
    </w:p>
    <w:p>
      <w:pPr>
        <w:pStyle w:val="FirstParagraph"/>
      </w:pPr>
      <w:hyperlink r:id="rId51">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2"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2"/>
    <w:bookmarkStart w:id="53" w:name="docker-desktop-kurulumu-bir-kez"/>
    <w:p>
      <w:pPr>
        <w:pStyle w:val="Heading3"/>
      </w:pPr>
      <w:r>
        <w:t xml:space="preserve">1. Docker Desktop kurulumu (bir kez)</w:t>
      </w:r>
    </w:p>
    <w:p>
      <w:pPr>
        <w:numPr>
          <w:ilvl w:val="0"/>
          <w:numId w:val="1005"/>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5"/>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5"/>
        </w:numPr>
        <w:pStyle w:val="Compact"/>
      </w:pPr>
      <w:r>
        <w:t xml:space="preserve">Kurulum bitince bilgisayarı yeniden başlatın.</w:t>
      </w:r>
    </w:p>
    <w:p>
      <w:pPr>
        <w:numPr>
          <w:ilvl w:val="0"/>
          <w:numId w:val="1005"/>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3"/>
    <w:bookmarkStart w:id="54" w:name="X369b9872956878cc5121302b7e5dcb7a3561b67"/>
    <w:p>
      <w:pPr>
        <w:pStyle w:val="Heading3"/>
      </w:pPr>
      <w:r>
        <w:t xml:space="preserve">2. TopCoW modelini indirme ve Docker’a yükleme (bir kez)</w:t>
      </w:r>
    </w:p>
    <w:p>
      <w:pPr>
        <w:numPr>
          <w:ilvl w:val="0"/>
          <w:numId w:val="1006"/>
        </w:numPr>
      </w:pPr>
      <w:r>
        <w:t xml:space="preserve">DKFZ takımının modelini indirin (7,3 GB):</w:t>
      </w:r>
      <w:r>
        <w:t xml:space="preserve"> </w:t>
      </w:r>
      <w:r>
        <w:t xml:space="preserve">https://zenodo.org/records/15665435/files/Team_DKFZ_topcow_seg.tar.gz?download=1</w:t>
      </w:r>
    </w:p>
    <w:p>
      <w:pPr>
        <w:numPr>
          <w:ilvl w:val="0"/>
          <w:numId w:val="1006"/>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6"/>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4"/>
    <w:bookmarkStart w:id="55"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7"/>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7"/>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7"/>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7"/>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7"/>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5"/>
    <w:bookmarkStart w:id="56"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8"/>
        </w:numPr>
        <w:pStyle w:val="Compact"/>
      </w:pPr>
      <w:r>
        <w:rPr>
          <w:bCs/>
          <w:b/>
        </w:rPr>
        <w:t xml:space="preserve">visualised</w:t>
      </w:r>
      <w:r>
        <w:t xml:space="preserve">: segment görüntülenmiş ve iki ucundaki damara bağlı.</w:t>
      </w:r>
    </w:p>
    <w:p>
      <w:pPr>
        <w:numPr>
          <w:ilvl w:val="0"/>
          <w:numId w:val="1008"/>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8"/>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6"/>
    <w:bookmarkStart w:id="57"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7"/>
    <w:bookmarkStart w:id="58"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9"/>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9"/>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9"/>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9"/>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9"/>
        </w:numPr>
        <w:pStyle w:val="Compact"/>
      </w:pPr>
      <w:r>
        <w:rPr>
          <w:bCs/>
          <w:b/>
        </w:rPr>
        <w:t xml:space="preserve">Orta hatta üçüncü perikallozal damar</w:t>
      </w:r>
      <w:r>
        <w:t xml:space="preserve"> </w:t>
      </w:r>
      <w:r>
        <w:t xml:space="preserve">kökenine göre adlandırılır:</w:t>
      </w:r>
    </w:p>
    <w:p>
      <w:pPr>
        <w:numPr>
          <w:ilvl w:val="1"/>
          <w:numId w:val="1010"/>
        </w:numPr>
        <w:pStyle w:val="Compact"/>
      </w:pPr>
      <w:r>
        <w:t xml:space="preserve">AComA’dan çıkıyorsa →</w:t>
      </w:r>
      <w:r>
        <w:t xml:space="preserve"> </w:t>
      </w:r>
      <w:r>
        <w:rPr>
          <w:iCs/>
          <w:i/>
        </w:rPr>
        <w:t xml:space="preserve">A. callosa mediana (VARYASYON)</w:t>
      </w:r>
    </w:p>
    <w:p>
      <w:pPr>
        <w:numPr>
          <w:ilvl w:val="1"/>
          <w:numId w:val="1010"/>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9"/>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9"/>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8"/>
    <w:bookmarkStart w:id="59"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9"/>
    <w:bookmarkEnd w:id="60"/>
    <w:bookmarkStart w:id="61"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1"/>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1"/>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1"/>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2"/>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2"/>
        </w:numPr>
        <w:pStyle w:val="Compact"/>
      </w:pPr>
      <w:r>
        <w:t xml:space="preserve">Yağ dokusunu biçim (tübülerlik) ölçütüyle ayıklamak.</w:t>
      </w:r>
    </w:p>
    <w:p>
      <w:pPr>
        <w:numPr>
          <w:ilvl w:val="0"/>
          <w:numId w:val="1012"/>
        </w:numPr>
        <w:pStyle w:val="Compact"/>
      </w:pPr>
      <w:r>
        <w:t xml:space="preserve">Tohumları kesit görüntüsünde de kolay yerleştirmek.</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51"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1"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2026-10-16T13:06:17Z</dcterms:created>
  <dcterms:modified xsi:type="dcterms:W3CDTF">2026-10-16T13:06:17Z</dcterms:modified>
</cp:coreProperties>
</file>

<file path=docProps/custom.xml><?xml version="1.0" encoding="utf-8"?>
<Properties xmlns="http://schemas.openxmlformats.org/officeDocument/2006/custom-properties" xmlns:vt="http://schemas.openxmlformats.org/officeDocument/2006/docPropsVTypes"/>
</file>