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Bookman Old Style" w:hAnsi="Bookman Old Style"/>
          <w:b/>
          <w:color w:val="16324F"/>
          <w:sz w:val="26"/>
        </w:rPr>
        <w:t>Term I Scheme of Work for SFEPE301: PROGRAMMING FUNDAMENTALS USING C</w:t>
      </w:r>
    </w:p>
    <w:p>
      <w:pPr>
        <w:spacing w:after="120"/>
        <w:jc w:val="center"/>
      </w:pPr>
      <w:r>
        <w:rPr>
          <w:rFonts w:ascii="Bookman Old Style" w:hAnsi="Bookman Old Style"/>
          <w:b/>
          <w:color w:val="A8341A"/>
          <w:sz w:val="20"/>
        </w:rPr>
        <w:t>New Generation Coding Academy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1928"/>
            <w:shd w:val="clear" w:color="auto" w:fill="E4EAF0"/>
          </w:tcPr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16324F"/>
                <w:sz w:val="18"/>
                <w:rFonts w:ascii="Bookman Old Style" w:hAnsi="Bookman Old Style" w:cs="Bookman Old Style"/>
              </w:rPr>
              <w:t>Sector:</w:t>
            </w:r>
          </w:p>
        </w:tc>
        <w:tc>
          <w:tcPr>
            <w:tcW w:type="dxa" w:w="4876"/>
          </w:tcPr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 w:val="0"/>
                <w:sz w:val="18"/>
                <w:rFonts w:ascii="Bookman Old Style" w:hAnsi="Bookman Old Style" w:cs="Bookman Old Style"/>
              </w:rPr>
              <w:t>ICT and Multimedia</w:t>
            </w:r>
          </w:p>
        </w:tc>
        <w:tc>
          <w:tcPr>
            <w:tcW w:type="dxa" w:w="2381"/>
            <w:shd w:val="clear" w:color="auto" w:fill="E4EAF0"/>
          </w:tcPr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16324F"/>
                <w:sz w:val="18"/>
                <w:rFonts w:ascii="Bookman Old Style" w:hAnsi="Bookman Old Style" w:cs="Bookman Old Style"/>
              </w:rPr>
              <w:t>Trainer:</w:t>
            </w:r>
          </w:p>
        </w:tc>
        <w:tc>
          <w:tcPr>
            <w:tcW w:type="dxa" w:w="3742"/>
          </w:tcPr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 w:val="0"/>
                <w:sz w:val="18"/>
                <w:rFonts w:ascii="Bookman Old Style" w:hAnsi="Bookman Old Style" w:cs="Bookman Old Style"/>
              </w:rPr>
              <w:t>Assadou Nzigamasabo</w:t>
            </w:r>
          </w:p>
        </w:tc>
      </w:tr>
      <w:tr>
        <w:tc>
          <w:tcPr>
            <w:tcW w:type="dxa" w:w="1928"/>
            <w:shd w:val="clear" w:color="auto" w:fill="E4EAF0"/>
          </w:tcPr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16324F"/>
                <w:sz w:val="18"/>
                <w:rFonts w:ascii="Bookman Old Style" w:hAnsi="Bookman Old Style" w:cs="Bookman Old Style"/>
              </w:rPr>
              <w:t>Trade:</w:t>
            </w:r>
          </w:p>
        </w:tc>
        <w:tc>
          <w:tcPr>
            <w:tcW w:type="dxa" w:w="4876"/>
          </w:tcPr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 w:val="0"/>
                <w:sz w:val="18"/>
                <w:rFonts w:ascii="Bookman Old Style" w:hAnsi="Bookman Old Style" w:cs="Bookman Old Style"/>
              </w:rPr>
              <w:t>Software Programming and Embedded Systems (SPEs)</w:t>
            </w:r>
          </w:p>
        </w:tc>
        <w:tc>
          <w:tcPr>
            <w:tcW w:type="dxa" w:w="2381"/>
            <w:shd w:val="clear" w:color="auto" w:fill="E4EAF0"/>
          </w:tcPr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16324F"/>
                <w:sz w:val="18"/>
                <w:rFonts w:ascii="Bookman Old Style" w:hAnsi="Bookman Old Style" w:cs="Bookman Old Style"/>
              </w:rPr>
              <w:t>School Year:</w:t>
            </w:r>
          </w:p>
        </w:tc>
        <w:tc>
          <w:tcPr>
            <w:tcW w:type="dxa" w:w="3742"/>
          </w:tcPr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 w:val="0"/>
                <w:sz w:val="18"/>
                <w:rFonts w:ascii="Bookman Old Style" w:hAnsi="Bookman Old Style" w:cs="Bookman Old Style"/>
              </w:rPr>
              <w:t>2026-2027</w:t>
            </w:r>
          </w:p>
        </w:tc>
      </w:tr>
      <w:tr>
        <w:tc>
          <w:tcPr>
            <w:tcW w:type="dxa" w:w="1928"/>
            <w:shd w:val="clear" w:color="auto" w:fill="E4EAF0"/>
          </w:tcPr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16324F"/>
                <w:sz w:val="18"/>
                <w:rFonts w:ascii="Bookman Old Style" w:hAnsi="Bookman Old Style" w:cs="Bookman Old Style"/>
              </w:rPr>
              <w:t>Qualification Title:</w:t>
            </w:r>
          </w:p>
        </w:tc>
        <w:tc>
          <w:tcPr>
            <w:tcW w:type="dxa" w:w="4876"/>
          </w:tcPr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 w:val="0"/>
                <w:sz w:val="18"/>
                <w:rFonts w:ascii="Bookman Old Style" w:hAnsi="Bookman Old Style" w:cs="Bookman Old Style"/>
              </w:rPr>
              <w:t>TVET Certificate 3 in Software Programming and Embedded Systems</w:t>
            </w:r>
          </w:p>
        </w:tc>
        <w:tc>
          <w:tcPr>
            <w:tcW w:type="dxa" w:w="2381"/>
            <w:shd w:val="clear" w:color="auto" w:fill="E4EAF0"/>
          </w:tcPr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16324F"/>
                <w:sz w:val="18"/>
                <w:rFonts w:ascii="Bookman Old Style" w:hAnsi="Bookman Old Style" w:cs="Bookman Old Style"/>
              </w:rPr>
              <w:t>Term:</w:t>
            </w:r>
          </w:p>
        </w:tc>
        <w:tc>
          <w:tcPr>
            <w:tcW w:type="dxa" w:w="3742"/>
          </w:tcPr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 w:val="0"/>
                <w:sz w:val="18"/>
                <w:rFonts w:ascii="Bookman Old Style" w:hAnsi="Bookman Old Style" w:cs="Bookman Old Style"/>
              </w:rPr>
              <w:t>Term 1</w:t>
            </w:r>
          </w:p>
        </w:tc>
      </w:tr>
      <w:tr>
        <w:tc>
          <w:tcPr>
            <w:tcW w:type="dxa" w:w="1928"/>
            <w:vMerge w:val="restart"/>
            <w:shd w:val="clear" w:color="auto" w:fill="E4EAF0"/>
          </w:tcPr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16324F"/>
                <w:sz w:val="18"/>
                <w:rFonts w:ascii="Bookman Old Style" w:hAnsi="Bookman Old Style" w:cs="Bookman Old Style"/>
              </w:rPr>
              <w:t>RQF Level:</w:t>
            </w:r>
          </w:p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16324F"/>
                <w:sz w:val="18"/>
                <w:rFonts w:ascii="Bookman Old Style" w:hAnsi="Bookman Old Style" w:cs="Bookman Old Style"/>
              </w:rPr>
            </w:r>
          </w:p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16324F"/>
                <w:sz w:val="18"/>
                <w:rFonts w:ascii="Bookman Old Style" w:hAnsi="Bookman Old Style" w:cs="Bookman Old Style"/>
              </w:rPr>
            </w:r>
          </w:p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16324F"/>
                <w:sz w:val="18"/>
                <w:rFonts w:ascii="Bookman Old Style" w:hAnsi="Bookman Old Style" w:cs="Bookman Old Style"/>
              </w:rPr>
            </w:r>
          </w:p>
        </w:tc>
        <w:tc>
          <w:tcPr>
            <w:tcW w:type="dxa" w:w="4876"/>
            <w:vMerge w:val="restart"/>
          </w:tcPr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 w:val="0"/>
                <w:sz w:val="18"/>
                <w:rFonts w:ascii="Bookman Old Style" w:hAnsi="Bookman Old Style" w:cs="Bookman Old Style"/>
              </w:rPr>
              <w:t>Level 3</w:t>
            </w:r>
          </w:p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 w:val="0"/>
                <w:sz w:val="18"/>
                <w:rFonts w:ascii="Bookman Old Style" w:hAnsi="Bookman Old Style" w:cs="Bookman Old Style"/>
              </w:rPr>
            </w:r>
          </w:p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 w:val="0"/>
                <w:sz w:val="18"/>
                <w:rFonts w:ascii="Bookman Old Style" w:hAnsi="Bookman Old Style" w:cs="Bookman Old Style"/>
              </w:rPr>
            </w:r>
          </w:p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 w:val="0"/>
                <w:sz w:val="18"/>
                <w:rFonts w:ascii="Bookman Old Style" w:hAnsi="Bookman Old Style" w:cs="Bookman Old Style"/>
              </w:rPr>
            </w:r>
          </w:p>
        </w:tc>
        <w:tc>
          <w:tcPr>
            <w:tcW w:type="dxa" w:w="3742"/>
            <w:gridSpan w:val="2"/>
            <w:shd w:val="clear" w:color="auto" w:fill="E4EAF0"/>
            <w:shd w:val="clear" w:color="auto" w:fill="16324F"/>
          </w:tcPr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FFFFFF"/>
                <w:sz w:val="18"/>
                <w:rFonts w:ascii="Bookman Old Style" w:hAnsi="Bookman Old Style" w:cs="Bookman Old Style"/>
              </w:rPr>
              <w:t>Module details</w:t>
            </w:r>
          </w:p>
        </w:tc>
      </w:tr>
      <w:tr>
        <w:tc>
          <w:tcPr>
            <w:tcW w:type="dxa" w:w="3812"/>
            <w:vMerge/>
            <w:shd w:val="clear" w:color="auto" w:fill="E4EAF0"/>
          </w:tcPr>
          <w:p/>
        </w:tc>
        <w:tc>
          <w:tcPr>
            <w:tcW w:type="dxa" w:w="3812"/>
            <w:vMerge/>
          </w:tcPr>
          <w:p/>
        </w:tc>
        <w:tc>
          <w:tcPr>
            <w:tcW w:type="dxa" w:w="2381"/>
            <w:shd w:val="clear" w:color="auto" w:fill="E4EAF0"/>
          </w:tcPr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16324F"/>
                <w:sz w:val="18"/>
                <w:rFonts w:ascii="Bookman Old Style" w:hAnsi="Bookman Old Style" w:cs="Bookman Old Style"/>
              </w:rPr>
              <w:t>Module code and title</w:t>
            </w:r>
          </w:p>
        </w:tc>
        <w:tc>
          <w:tcPr>
            <w:tcW w:type="dxa" w:w="3742"/>
          </w:tcPr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 w:val="0"/>
                <w:sz w:val="18"/>
                <w:rFonts w:ascii="Bookman Old Style" w:hAnsi="Bookman Old Style" w:cs="Bookman Old Style"/>
              </w:rPr>
              <w:t>SFEPE301: PROGRAMMING FUNDAMENTALS USING C</w:t>
            </w:r>
          </w:p>
        </w:tc>
      </w:tr>
      <w:tr>
        <w:tc>
          <w:tcPr>
            <w:tcW w:type="dxa" w:w="3812"/>
            <w:vMerge/>
            <w:shd w:val="clear" w:color="auto" w:fill="E4EAF0"/>
          </w:tcPr>
          <w:p/>
        </w:tc>
        <w:tc>
          <w:tcPr>
            <w:tcW w:type="dxa" w:w="3812"/>
            <w:vMerge/>
          </w:tcPr>
          <w:p/>
        </w:tc>
        <w:tc>
          <w:tcPr>
            <w:tcW w:type="dxa" w:w="2381"/>
            <w:shd w:val="clear" w:color="auto" w:fill="E4EAF0"/>
          </w:tcPr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16324F"/>
                <w:sz w:val="18"/>
                <w:rFonts w:ascii="Bookman Old Style" w:hAnsi="Bookman Old Style" w:cs="Bookman Old Style"/>
              </w:rPr>
              <w:t>Learning hours:</w:t>
            </w:r>
          </w:p>
        </w:tc>
        <w:tc>
          <w:tcPr>
            <w:tcW w:type="dxa" w:w="3742"/>
          </w:tcPr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 w:val="0"/>
                <w:sz w:val="18"/>
                <w:rFonts w:ascii="Bookman Old Style" w:hAnsi="Bookman Old Style" w:cs="Bookman Old Style"/>
              </w:rPr>
              <w:t>5 (4 taught and 1 in self-study) per week</w:t>
            </w:r>
          </w:p>
        </w:tc>
      </w:tr>
      <w:tr>
        <w:tc>
          <w:tcPr>
            <w:tcW w:type="dxa" w:w="3812"/>
            <w:vMerge/>
            <w:shd w:val="clear" w:color="auto" w:fill="E4EAF0"/>
          </w:tcPr>
          <w:p/>
        </w:tc>
        <w:tc>
          <w:tcPr>
            <w:tcW w:type="dxa" w:w="3812"/>
            <w:vMerge/>
          </w:tcPr>
          <w:p/>
        </w:tc>
        <w:tc>
          <w:tcPr>
            <w:tcW w:type="dxa" w:w="2381"/>
            <w:shd w:val="clear" w:color="auto" w:fill="E4EAF0"/>
          </w:tcPr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16324F"/>
                <w:sz w:val="18"/>
                <w:rFonts w:ascii="Bookman Old Style" w:hAnsi="Bookman Old Style" w:cs="Bookman Old Style"/>
              </w:rPr>
              <w:t>Number of Classes:</w:t>
            </w:r>
          </w:p>
        </w:tc>
        <w:tc>
          <w:tcPr>
            <w:tcW w:type="dxa" w:w="3742"/>
          </w:tcPr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 w:val="0"/>
                <w:sz w:val="18"/>
                <w:rFonts w:ascii="Bookman Old Style" w:hAnsi="Bookman Old Style" w:cs="Bookman Old Style"/>
              </w:rPr>
              <w:t>1</w:t>
            </w:r>
          </w:p>
        </w:tc>
      </w:tr>
      <w:tr>
        <w:tc>
          <w:tcPr>
            <w:tcW w:type="dxa" w:w="1928"/>
            <w:shd w:val="clear" w:color="auto" w:fill="E4EAF0"/>
          </w:tcPr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16324F"/>
                <w:sz w:val="18"/>
                <w:rFonts w:ascii="Bookman Old Style" w:hAnsi="Bookman Old Style" w:cs="Bookman Old Style"/>
              </w:rPr>
              <w:t>Date:</w:t>
            </w:r>
          </w:p>
        </w:tc>
        <w:tc>
          <w:tcPr>
            <w:tcW w:type="dxa" w:w="4876"/>
          </w:tcPr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 w:val="0"/>
                <w:sz w:val="18"/>
                <w:rFonts w:ascii="Bookman Old Style" w:hAnsi="Bookman Old Style" w:cs="Bookman Old Style"/>
              </w:rPr>
              <w:t>07/09/2026</w:t>
            </w:r>
          </w:p>
        </w:tc>
        <w:tc>
          <w:tcPr>
            <w:tcW w:type="dxa" w:w="2381"/>
            <w:shd w:val="clear" w:color="auto" w:fill="E4EAF0"/>
          </w:tcPr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16324F"/>
                <w:sz w:val="18"/>
                <w:rFonts w:ascii="Bookman Old Style" w:hAnsi="Bookman Old Style" w:cs="Bookman Old Style"/>
              </w:rPr>
              <w:t>Class Name:</w:t>
            </w:r>
          </w:p>
        </w:tc>
        <w:tc>
          <w:tcPr>
            <w:tcW w:type="dxa" w:w="3742"/>
          </w:tcPr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 w:val="0"/>
                <w:sz w:val="18"/>
                <w:rFonts w:ascii="Bookman Old Style" w:hAnsi="Bookman Old Style" w:cs="Bookman Old Style"/>
              </w:rPr>
              <w:t>Year One</w:t>
            </w:r>
          </w:p>
        </w:tc>
      </w:tr>
    </w:tbl>
    <w:p>
      <w:pPr>
        <w:spacing w:after="80"/>
      </w:pPr>
    </w:p>
    <w:tbl>
      <w:tblPr>
        <w:tblStyle w:val="TableGrid"/>
        <w:tblW w:type="dxa" w:w="15250"/>
        <w:tblLayout w:type="fixed"/>
        <w:tblLook w:firstColumn="1" w:firstRow="1" w:lastColumn="0" w:lastRow="0" w:noHBand="0" w:noVBand="1" w:val="04A0"/>
        <w:tblBorders>
          <w:top w:val="single" w:sz="6" w:space="0" w:color="16324F"/>
          <w:left w:val="single" w:sz="6" w:space="0" w:color="16324F"/>
          <w:bottom w:val="single" w:sz="6" w:space="0" w:color="16324F"/>
          <w:right w:val="single" w:sz="6" w:space="0" w:color="16324F"/>
          <w:insideH w:val="single" w:sz="6" w:space="0" w:color="16324F"/>
          <w:insideV w:val="single" w:sz="6" w:space="0" w:color="16324F"/>
        </w:tblBorders>
        <w:tblLayout w:type="fixed"/>
      </w:tblPr>
      <w:tblGrid>
        <w:gridCol w:w="1303"/>
        <w:gridCol w:w="1530"/>
        <w:gridCol w:w="1105"/>
        <w:gridCol w:w="2522"/>
        <w:gridCol w:w="3146"/>
        <w:gridCol w:w="1615"/>
        <w:gridCol w:w="1615"/>
        <w:gridCol w:w="1077"/>
        <w:gridCol w:w="1332"/>
      </w:tblGrid>
      <w:tr>
        <w:trPr>
          <w:tblHeader w:val="true"/>
          <w:trHeight w:val="0" w:hRule="atLeast"/>
          <w:cantSplit/>
        </w:trPr>
        <w:tc>
          <w:tcPr>
            <w:tcW w:type="dxa" w:w="1304"/>
            <w:vMerge w:val="restart"/>
            <w:shd w:val="clear" w:color="auto" w:fill="16324F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FFFFFF"/>
                <w:sz w:val="16"/>
                <w:rFonts w:ascii="Bookman Old Style" w:hAnsi="Bookman Old Style" w:cs="Bookman Old Style"/>
              </w:rPr>
              <w:t>Weeks</w:t>
            </w:r>
          </w:p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FFFFFF"/>
                <w:sz w:val="16"/>
                <w:rFonts w:ascii="Bookman Old Style" w:hAnsi="Bookman Old Style" w:cs="Bookman Old Style"/>
              </w:rPr>
            </w:r>
          </w:p>
        </w:tc>
        <w:tc>
          <w:tcPr>
            <w:tcW w:type="dxa" w:w="2523"/>
            <w:gridSpan w:val="3"/>
            <w:shd w:val="clear" w:color="auto" w:fill="16324F"/>
            <w:shd w:val="clear" w:color="auto" w:fill="16324F"/>
            <w:shd w:val="clear" w:color="auto" w:fill="16324F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FFFFFF"/>
                <w:sz w:val="16"/>
                <w:rFonts w:ascii="Bookman Old Style" w:hAnsi="Bookman Old Style" w:cs="Bookman Old Style"/>
              </w:rPr>
              <w:t>Competence code and name</w:t>
            </w:r>
          </w:p>
        </w:tc>
        <w:tc>
          <w:tcPr>
            <w:tcW w:type="dxa" w:w="3146"/>
            <w:vMerge w:val="restart"/>
            <w:shd w:val="clear" w:color="auto" w:fill="16324F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FFFFFF"/>
                <w:sz w:val="16"/>
                <w:rFonts w:ascii="Bookman Old Style" w:hAnsi="Bookman Old Style" w:cs="Bookman Old Style"/>
              </w:rPr>
              <w:t>Learning Activities</w:t>
            </w:r>
          </w:p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FFFFFF"/>
                <w:sz w:val="16"/>
                <w:rFonts w:ascii="Bookman Old Style" w:hAnsi="Bookman Old Style" w:cs="Bookman Old Style"/>
              </w:rPr>
            </w:r>
          </w:p>
        </w:tc>
        <w:tc>
          <w:tcPr>
            <w:tcW w:type="dxa" w:w="1616"/>
            <w:vMerge w:val="restart"/>
            <w:shd w:val="clear" w:color="auto" w:fill="16324F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FFFFFF"/>
                <w:sz w:val="16"/>
                <w:rFonts w:ascii="Bookman Old Style" w:hAnsi="Bookman Old Style" w:cs="Bookman Old Style"/>
              </w:rPr>
              <w:t>Resources (Equipment, tools, materials)</w:t>
            </w:r>
          </w:p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FFFFFF"/>
                <w:sz w:val="16"/>
                <w:rFonts w:ascii="Bookman Old Style" w:hAnsi="Bookman Old Style" w:cs="Bookman Old Style"/>
              </w:rPr>
            </w:r>
          </w:p>
        </w:tc>
        <w:tc>
          <w:tcPr>
            <w:tcW w:type="dxa" w:w="1616"/>
            <w:vMerge w:val="restart"/>
            <w:shd w:val="clear" w:color="auto" w:fill="16324F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FFFFFF"/>
                <w:sz w:val="16"/>
                <w:rFonts w:ascii="Bookman Old Style" w:hAnsi="Bookman Old Style" w:cs="Bookman Old Style"/>
              </w:rPr>
              <w:t>Evidences of formative assessment</w:t>
            </w:r>
          </w:p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FFFFFF"/>
                <w:sz w:val="16"/>
                <w:rFonts w:ascii="Bookman Old Style" w:hAnsi="Bookman Old Style" w:cs="Bookman Old Style"/>
              </w:rPr>
            </w:r>
          </w:p>
        </w:tc>
        <w:tc>
          <w:tcPr>
            <w:tcW w:type="dxa" w:w="1077"/>
            <w:vMerge w:val="restart"/>
            <w:shd w:val="clear" w:color="auto" w:fill="16324F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FFFFFF"/>
                <w:sz w:val="16"/>
                <w:rFonts w:ascii="Bookman Old Style" w:hAnsi="Bookman Old Style" w:cs="Bookman Old Style"/>
              </w:rPr>
              <w:t>Learning Place</w:t>
            </w:r>
          </w:p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FFFFFF"/>
                <w:sz w:val="16"/>
                <w:rFonts w:ascii="Bookman Old Style" w:hAnsi="Bookman Old Style" w:cs="Bookman Old Style"/>
              </w:rPr>
            </w:r>
          </w:p>
        </w:tc>
        <w:tc>
          <w:tcPr>
            <w:tcW w:type="dxa" w:w="1332"/>
            <w:vMerge w:val="restart"/>
            <w:shd w:val="clear" w:color="auto" w:fill="16324F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FFFFFF"/>
                <w:sz w:val="16"/>
                <w:rFonts w:ascii="Bookman Old Style" w:hAnsi="Bookman Old Style" w:cs="Bookman Old Style"/>
              </w:rPr>
              <w:t>Observation</w:t>
            </w:r>
          </w:p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FFFFFF"/>
                <w:sz w:val="16"/>
                <w:rFonts w:ascii="Bookman Old Style" w:hAnsi="Bookman Old Style" w:cs="Bookman Old Style"/>
              </w:rPr>
            </w:r>
          </w:p>
        </w:tc>
      </w:tr>
      <w:tr>
        <w:trPr>
          <w:tblHeader w:val="true"/>
          <w:trHeight w:val="0" w:hRule="atLeast"/>
          <w:cantSplit/>
        </w:trPr>
        <w:tc>
          <w:tcPr>
            <w:tcW w:type="dxa" w:w="1694"/>
            <w:vMerge/>
            <w:shd w:val="clear" w:color="auto" w:fill="16324F"/>
          </w:tcPr>
          <w:p/>
        </w:tc>
        <w:tc>
          <w:tcPr>
            <w:tcW w:type="dxa" w:w="1531"/>
            <w:shd w:val="clear" w:color="auto" w:fill="CFD9E3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16324F"/>
                <w:sz w:val="16"/>
                <w:rFonts w:ascii="Bookman Old Style" w:hAnsi="Bookman Old Style" w:cs="Bookman Old Style"/>
              </w:rPr>
              <w:t>Learning outcome (LO)</w:t>
            </w:r>
          </w:p>
        </w:tc>
        <w:tc>
          <w:tcPr>
            <w:tcW w:type="dxa" w:w="1106"/>
            <w:shd w:val="clear" w:color="auto" w:fill="CFD9E3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16324F"/>
                <w:sz w:val="16"/>
                <w:rFonts w:ascii="Bookman Old Style" w:hAnsi="Bookman Old Style" w:cs="Bookman Old Style"/>
              </w:rPr>
              <w:t>Duration</w:t>
            </w:r>
          </w:p>
        </w:tc>
        <w:tc>
          <w:tcPr>
            <w:tcW w:type="dxa" w:w="2523"/>
            <w:shd w:val="clear" w:color="auto" w:fill="CFD9E3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16324F"/>
                <w:sz w:val="16"/>
                <w:rFonts w:ascii="Bookman Old Style" w:hAnsi="Bookman Old Style" w:cs="Bookman Old Style"/>
              </w:rPr>
              <w:t>Indicative content (IC)</w:t>
            </w:r>
          </w:p>
        </w:tc>
        <w:tc>
          <w:tcPr>
            <w:tcW w:type="dxa" w:w="1694"/>
            <w:vMerge/>
            <w:shd w:val="clear" w:color="auto" w:fill="16324F"/>
          </w:tcPr>
          <w:p/>
        </w:tc>
        <w:tc>
          <w:tcPr>
            <w:tcW w:type="dxa" w:w="1694"/>
            <w:vMerge/>
            <w:shd w:val="clear" w:color="auto" w:fill="16324F"/>
          </w:tcPr>
          <w:p/>
        </w:tc>
        <w:tc>
          <w:tcPr>
            <w:tcW w:type="dxa" w:w="1694"/>
            <w:vMerge/>
            <w:shd w:val="clear" w:color="auto" w:fill="16324F"/>
          </w:tcPr>
          <w:p/>
        </w:tc>
        <w:tc>
          <w:tcPr>
            <w:tcW w:type="dxa" w:w="1694"/>
            <w:vMerge/>
            <w:shd w:val="clear" w:color="auto" w:fill="16324F"/>
          </w:tcPr>
          <w:p/>
        </w:tc>
        <w:tc>
          <w:tcPr>
            <w:tcW w:type="dxa" w:w="1694"/>
            <w:vMerge/>
            <w:shd w:val="clear" w:color="auto" w:fill="16324F"/>
          </w:tcPr>
          <w:p/>
        </w:tc>
      </w:tr>
      <w:tr>
        <w:tc>
          <w:tcPr>
            <w:tcW w:type="dxa" w:w="1304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/>
                <w:color w:val="16324F"/>
                <w:sz w:val="17"/>
                <w:rFonts w:ascii="Times New Roman" w:hAnsi="Times New Roman" w:cs="Times New Roman"/>
              </w:rPr>
              <w:t>Week 1: 07-11/09/2026</w:t>
            </w:r>
          </w:p>
        </w:tc>
        <w:tc>
          <w:tcPr>
            <w:tcW w:type="dxa" w:w="1531"/>
            <w:vMerge w:val="restart"/>
          </w:tcPr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16324F"/>
                <w:sz w:val="17"/>
                <w:rFonts w:ascii="Bookman Old Style" w:hAnsi="Bookman Old Style" w:cs="Bookman Old Style"/>
              </w:rPr>
              <w:t>Learning outcome 1: Describe number systems</w:t>
            </w:r>
          </w:p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16324F"/>
                <w:sz w:val="17"/>
                <w:rFonts w:ascii="Bookman Old Style" w:hAnsi="Bookman Old Style" w:cs="Bookman Old Style"/>
              </w:rPr>
            </w:r>
          </w:p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16324F"/>
                <w:sz w:val="17"/>
                <w:rFonts w:ascii="Bookman Old Style" w:hAnsi="Bookman Old Style" w:cs="Bookman Old Style"/>
              </w:rPr>
            </w:r>
          </w:p>
        </w:tc>
        <w:tc>
          <w:tcPr>
            <w:tcW w:type="dxa" w:w="1106"/>
            <w:vMerge w:val="restart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16324F"/>
                <w:sz w:val="16"/>
                <w:rFonts w:ascii="Bookman Old Style" w:hAnsi="Bookman Old Style" w:cs="Bookman Old Style"/>
              </w:rPr>
              <w:t>15 hours</w:t>
            </w:r>
          </w:p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16324F"/>
                <w:sz w:val="16"/>
                <w:rFonts w:ascii="Bookman Old Style" w:hAnsi="Bookman Old Style" w:cs="Bookman Old Style"/>
              </w:rPr>
            </w:r>
          </w:p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16324F"/>
                <w:sz w:val="16"/>
                <w:rFonts w:ascii="Bookman Old Style" w:hAnsi="Bookman Old Style" w:cs="Bookman Old Style"/>
              </w:rPr>
            </w:r>
          </w:p>
        </w:tc>
        <w:tc>
          <w:tcPr>
            <w:tcW w:type="dxa" w:w="2523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Description of number systems types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Decimal numbers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Binary numbers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Octal numbers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Hexadecimal numbers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• Base, radix and positional place value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• Why digital machines represent data in base 2</w:t>
            </w:r>
          </w:p>
        </w:tc>
        <w:tc>
          <w:tcPr>
            <w:tcW w:type="dxa" w:w="314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Starter (Remember/Understand): “Why does a computer only know 0 and 1?” — torch/switch demonstration; students record the on-off states as bits.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Trainer-guided note taking on base, radix and place value, with worked examples on the board.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Unplugged pair activity: binary counting with place-value cards (1, 2, 4, 8, 16); teams count the class register in binary.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Rwanda context: students read the IPv4 address and MAC address of their own lab PC (ipconfig / ifconfig) and identify which number system each uses; link to the national fibre-optic backbone and device addressing.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Lab: verify hand conversions using the operating system programmer calculator.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Self-study (1h): build base-2, base-8 and base-16 digit tables and complete 20 practice items.</w:t>
            </w:r>
          </w:p>
        </w:tc>
        <w:tc>
          <w:tcPr>
            <w:tcW w:type="dxa" w:w="161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Whiteboard and markers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1 PC per student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Projector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Programmer calculator (OS built-in)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Place-value card sets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Ata Elahi (2018), Computer Systems, Ch.1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learning platform (mis.amashuri.com)</w:t>
            </w:r>
          </w:p>
        </w:tc>
        <w:tc>
          <w:tcPr>
            <w:tcW w:type="dxa" w:w="161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Exit ticket: 5 items identifying the base of given numbers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Observation checklist on the place-value card task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Self-study workbook page 1</w:t>
            </w:r>
          </w:p>
        </w:tc>
        <w:tc>
          <w:tcPr>
            <w:tcW w:type="dxa" w:w="1077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Classroom / Computer lab</w:t>
            </w:r>
          </w:p>
        </w:tc>
        <w:tc>
          <w:tcPr>
            <w:tcW w:type="dxa" w:w="1332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1304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/>
                <w:color w:val="16324F"/>
                <w:sz w:val="17"/>
                <w:rFonts w:ascii="Times New Roman" w:hAnsi="Times New Roman" w:cs="Times New Roman"/>
              </w:rPr>
              <w:t>Week 2: 14-18/09/2026</w:t>
            </w:r>
          </w:p>
        </w:tc>
        <w:tc>
          <w:tcPr>
            <w:tcW w:type="dxa" w:w="1694"/>
            <w:vMerge/>
          </w:tcPr>
          <w:p/>
        </w:tc>
        <w:tc>
          <w:tcPr>
            <w:tcW w:type="dxa" w:w="1694"/>
            <w:vMerge/>
          </w:tcPr>
          <w:p/>
        </w:tc>
        <w:tc>
          <w:tcPr>
            <w:tcW w:type="dxa" w:w="2523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Conversion of a number from one system to another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Conversion from binary to decimal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Conversion from hexadecimal to decimal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Conversion from octal to decimal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Conversion from decimal to binary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Conversion from decimal to hexadecimal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Conversion from decimal to octal</w:t>
            </w:r>
          </w:p>
        </w:tc>
        <w:tc>
          <w:tcPr>
            <w:tcW w:type="dxa" w:w="314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Trainer demonstration of the two core methods: positional expansion (to decimal) and repeated division-remainder (from decimal). Bloom level: Apply.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“Conversion relay” — teams of four race a conversion chain on the board, each member completing one step; peer assessment of each step.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Individual timed drill: 15 conversions, self-marked against an answer key. Competency threshold: 12/15.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Rwanda context: decode the hexadecimal colour codes of the national flag (#00A1DE, #FAD201, #20603D) into decimal RGB values; discuss their use in Irembo and RwandAir web interfaces.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Remediation clinic for students below threshold using colour-coded conversion mats.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Self-study (1h): 20 mixed conversions.</w:t>
            </w:r>
          </w:p>
        </w:tc>
        <w:tc>
          <w:tcPr>
            <w:tcW w:type="dxa" w:w="161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Whiteboard and markers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1 PC per student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Projector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Conversion drill worksheets and answer keys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Flag colour-code handout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Conversion mats</w:t>
            </w:r>
          </w:p>
        </w:tc>
        <w:tc>
          <w:tcPr>
            <w:tcW w:type="dxa" w:w="161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Timed drill score sheet (threshold 12/15)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Photographs of relay boards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Peer-assessment slips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Remediation attendance and re-test record</w:t>
            </w:r>
          </w:p>
        </w:tc>
        <w:tc>
          <w:tcPr>
            <w:tcW w:type="dxa" w:w="1077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Classroom / Computer lab</w:t>
            </w:r>
          </w:p>
        </w:tc>
        <w:tc>
          <w:tcPr>
            <w:tcW w:type="dxa" w:w="1332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1304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/>
                <w:color w:val="16324F"/>
                <w:sz w:val="17"/>
                <w:rFonts w:ascii="Times New Roman" w:hAnsi="Times New Roman" w:cs="Times New Roman"/>
              </w:rPr>
              <w:t>Week 3: 21-25/09/2026</w:t>
            </w:r>
          </w:p>
        </w:tc>
        <w:tc>
          <w:tcPr>
            <w:tcW w:type="dxa" w:w="1694"/>
            <w:vMerge/>
          </w:tcPr>
          <w:p/>
        </w:tc>
        <w:tc>
          <w:tcPr>
            <w:tcW w:type="dxa" w:w="1694"/>
            <w:vMerge/>
          </w:tcPr>
          <w:p/>
        </w:tc>
        <w:tc>
          <w:tcPr>
            <w:tcW w:type="dxa" w:w="2523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Conversion from binary to octal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Conversion from binary to hexadecimal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Conversion from octal to binary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• The 3-bit and 4-bit grouping method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• Consolidation and Learning Outcome 1 assessment</w:t>
            </w:r>
          </w:p>
        </w:tc>
        <w:tc>
          <w:tcPr>
            <w:tcW w:type="dxa" w:w="314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Trainer-guided derivation of the 3-bit / 4-bit grouping shortcut; students justify why it works (Bloom: Analyse).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Jigsaw: four home groups each master one conversion pair, then teach it to the other groups.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Mini-project “Umubare Converter (design)”: in pairs, produce a one-page reference card for a Year-1 peer covering all nine conversions with one worked example each. Assessed against a rubric and retained for use in LO3 and LO4.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Quiz 1 — End of Learning Outcome 1 (written, 20 marks, mapped to performance criteria 1.1 and 1.2).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Individual improvement plans issued to any student scoring below 60%.</w:t>
            </w:r>
          </w:p>
        </w:tc>
        <w:tc>
          <w:tcPr>
            <w:tcW w:type="dxa" w:w="161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Whiteboard and markers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1 PC per student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Projector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Quiz 1 printouts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Reference-card rubric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learning platform (mis.amashuri.com) for grading</w:t>
            </w:r>
          </w:p>
        </w:tc>
        <w:tc>
          <w:tcPr>
            <w:tcW w:type="dxa" w:w="161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Quiz 1 scripts and mark sheet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Reference card assessed against rubric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Jigsaw teaching observation checklist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LO1 competency record: Competent / Not Yet Competent per criterion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Improvement plans on file</w:t>
            </w:r>
          </w:p>
        </w:tc>
        <w:tc>
          <w:tcPr>
            <w:tcW w:type="dxa" w:w="1077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Classroom</w:t>
            </w:r>
          </w:p>
        </w:tc>
        <w:tc>
          <w:tcPr>
            <w:tcW w:type="dxa" w:w="1332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1304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/>
                <w:color w:val="16324F"/>
                <w:sz w:val="17"/>
                <w:rFonts w:ascii="Times New Roman" w:hAnsi="Times New Roman" w:cs="Times New Roman"/>
              </w:rPr>
              <w:t>Week 4: 28/09-02/10/2026</w:t>
            </w:r>
          </w:p>
        </w:tc>
        <w:tc>
          <w:tcPr>
            <w:tcW w:type="dxa" w:w="1531"/>
            <w:vMerge w:val="restart"/>
          </w:tcPr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16324F"/>
                <w:sz w:val="17"/>
                <w:rFonts w:ascii="Bookman Old Style" w:hAnsi="Bookman Old Style" w:cs="Bookman Old Style"/>
              </w:rPr>
              <w:t>Learning outcome 2: Describe computer programming languages</w:t>
            </w:r>
          </w:p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16324F"/>
                <w:sz w:val="17"/>
                <w:rFonts w:ascii="Bookman Old Style" w:hAnsi="Bookman Old Style" w:cs="Bookman Old Style"/>
              </w:rPr>
            </w:r>
          </w:p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16324F"/>
                <w:sz w:val="17"/>
                <w:rFonts w:ascii="Bookman Old Style" w:hAnsi="Bookman Old Style" w:cs="Bookman Old Style"/>
              </w:rPr>
            </w:r>
          </w:p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16324F"/>
                <w:sz w:val="17"/>
                <w:rFonts w:ascii="Bookman Old Style" w:hAnsi="Bookman Old Style" w:cs="Bookman Old Style"/>
              </w:rPr>
            </w:r>
          </w:p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16324F"/>
                <w:sz w:val="17"/>
                <w:rFonts w:ascii="Bookman Old Style" w:hAnsi="Bookman Old Style" w:cs="Bookman Old Style"/>
              </w:rPr>
            </w:r>
          </w:p>
        </w:tc>
        <w:tc>
          <w:tcPr>
            <w:tcW w:type="dxa" w:w="1106"/>
            <w:vMerge w:val="restart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16324F"/>
                <w:sz w:val="16"/>
                <w:rFonts w:ascii="Bookman Old Style" w:hAnsi="Bookman Old Style" w:cs="Bookman Old Style"/>
              </w:rPr>
              <w:t>25 hours</w:t>
            </w:r>
          </w:p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16324F"/>
                <w:sz w:val="16"/>
                <w:rFonts w:ascii="Bookman Old Style" w:hAnsi="Bookman Old Style" w:cs="Bookman Old Style"/>
              </w:rPr>
            </w:r>
          </w:p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16324F"/>
                <w:sz w:val="16"/>
                <w:rFonts w:ascii="Bookman Old Style" w:hAnsi="Bookman Old Style" w:cs="Bookman Old Style"/>
              </w:rPr>
            </w:r>
          </w:p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16324F"/>
                <w:sz w:val="16"/>
                <w:rFonts w:ascii="Bookman Old Style" w:hAnsi="Bookman Old Style" w:cs="Bookman Old Style"/>
              </w:rPr>
            </w:r>
          </w:p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16324F"/>
                <w:sz w:val="16"/>
                <w:rFonts w:ascii="Bookman Old Style" w:hAnsi="Bookman Old Style" w:cs="Bookman Old Style"/>
              </w:rPr>
            </w:r>
          </w:p>
        </w:tc>
        <w:tc>
          <w:tcPr>
            <w:tcW w:type="dxa" w:w="2523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Description of a computer program anatomy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Computer programming overview</w:t>
            </w:r>
          </w:p>
          <w:p>
            <w:pPr>
              <w:spacing w:before="0" w:after="20" w:line="240" w:lineRule="auto"/>
              <w:ind w:left="198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▪ Definition of computer program</w:t>
            </w:r>
          </w:p>
          <w:p>
            <w:pPr>
              <w:spacing w:before="0" w:after="20" w:line="240" w:lineRule="auto"/>
              <w:ind w:left="198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▪ Types of computer software: operating systems, application programs, utility programs</w:t>
            </w:r>
          </w:p>
          <w:p>
            <w:pPr>
              <w:spacing w:before="0" w:after="20" w:line="240" w:lineRule="auto"/>
              <w:ind w:left="198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▪ History of computer programming</w:t>
            </w:r>
          </w:p>
          <w:p>
            <w:pPr>
              <w:spacing w:before="0" w:after="20" w:line="240" w:lineRule="auto"/>
              <w:ind w:left="198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▪ Definition of computer programming language</w:t>
            </w:r>
          </w:p>
        </w:tc>
        <w:tc>
          <w:tcPr>
            <w:tcW w:type="dxa" w:w="314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Brainstorm and card sort (Bloom: Understand): students classify 20 named products — Windows, the Irembo portal, MTN MoMo, antivirus, disk cleanup, Android, Zipline dispatch software — as operating system, application or utility.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Timeline construction: groups build a wall timeline of programming history (Ada Lovelace → FORTRAN → C → present) with a parallel “Rwanda ICT” band: 1996 first internet connection, Vision 2020, the national fibre backbone, Rwanda Coding Academy, and the NST2 Digital Talent Programme target of 1 million coders and 500,000 tech professionals.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Lab: students audit the software installed on their own PC and classify it in a table.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Self-study (1h): definition sheet plus a short paragraph, “What does Rwanda need 1,000,000 coders for?”</w:t>
            </w:r>
          </w:p>
        </w:tc>
        <w:tc>
          <w:tcPr>
            <w:tcW w:type="dxa" w:w="161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Whiteboard and markers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1 PC per student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Projector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Card-sort sets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Flip chart and sticky notes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MINICT ICT Sector Strategic Plan 2024–2029 (extract)</w:t>
            </w:r>
          </w:p>
        </w:tc>
        <w:tc>
          <w:tcPr>
            <w:tcW w:type="dxa" w:w="161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Completed card sort (photographed)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Software classification table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Individual contribution to the timeline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Self-study paragraph</w:t>
            </w:r>
          </w:p>
        </w:tc>
        <w:tc>
          <w:tcPr>
            <w:tcW w:type="dxa" w:w="1077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Classroom / Computer lab</w:t>
            </w:r>
          </w:p>
        </w:tc>
        <w:tc>
          <w:tcPr>
            <w:tcW w:type="dxa" w:w="1332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1304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/>
                <w:color w:val="16324F"/>
                <w:sz w:val="17"/>
                <w:rFonts w:ascii="Times New Roman" w:hAnsi="Times New Roman" w:cs="Times New Roman"/>
              </w:rPr>
              <w:t>Week 5: 05-09/10/2026</w:t>
            </w:r>
          </w:p>
        </w:tc>
        <w:tc>
          <w:tcPr>
            <w:tcW w:type="dxa" w:w="1694"/>
            <w:vMerge/>
          </w:tcPr>
          <w:p/>
        </w:tc>
        <w:tc>
          <w:tcPr>
            <w:tcW w:type="dxa" w:w="1694"/>
            <w:vMerge/>
          </w:tcPr>
          <w:p/>
        </w:tc>
        <w:tc>
          <w:tcPr>
            <w:tcW w:type="dxa" w:w="2523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Computer program overview</w:t>
            </w:r>
          </w:p>
          <w:p>
            <w:pPr>
              <w:spacing w:before="0" w:after="20" w:line="240" w:lineRule="auto"/>
              <w:ind w:left="198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▪ Interpreter</w:t>
            </w:r>
          </w:p>
          <w:p>
            <w:pPr>
              <w:spacing w:before="0" w:after="20" w:line="240" w:lineRule="auto"/>
              <w:ind w:left="198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▪ Compilers</w:t>
            </w:r>
          </w:p>
          <w:p>
            <w:pPr>
              <w:spacing w:before="0" w:after="20" w:line="240" w:lineRule="auto"/>
              <w:ind w:left="198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▪ Instructions</w:t>
            </w:r>
          </w:p>
          <w:p>
            <w:pPr>
              <w:spacing w:before="0" w:after="20" w:line="240" w:lineRule="auto"/>
              <w:ind w:left="198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▪ Statements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• The compilation process: preprocess, compile, assemble, link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• Development toolchain set-up</w:t>
            </w:r>
          </w:p>
        </w:tc>
        <w:tc>
          <w:tcPr>
            <w:tcW w:type="dxa" w:w="314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Analogy modelling: two role-play stations — an “interpreter” translating line by line to a listener, and a “compiler” translating a whole document before delivering it. Students derive the difference themselves (Bloom: Understand/Analyse).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Lab toolchain set-up: install and verify GCC (MinGW or Linux), CLANG and VS Code / Code::Blocks on every machine; each student compiles and runs a supplied hello.c and captures a screenshot.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Demonstration: the same logic run in an interpreted language and in compiled C; compare build steps and execution.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PROJECT LAUNCH: issue the class project brief — the Rwanda Coding Academy / Ministry of Health CHW Disease Reporting System (the module’s integrated summative assessment). Students receive all 15 requirements and a project logbook, and are shown how each remaining week contributes one piece.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Self-study (1h): annotate the four stages of compilation.</w:t>
            </w:r>
          </w:p>
        </w:tc>
        <w:tc>
          <w:tcPr>
            <w:tcW w:type="dxa" w:w="161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1 PC per student with GCC, CLANG, VS Code / Code::Blocks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Projector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hello.c starter file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Project brief handout (15 requirements)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Project logbooks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learning platform (mis.amashuri.com)</w:t>
            </w:r>
          </w:p>
        </w:tc>
        <w:tc>
          <w:tcPr>
            <w:tcW w:type="dxa" w:w="161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Screenshot of the first successful compile, uploaded to the learning platform (mis.amashuri.com)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Annotated compilation-stage diagram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Toolchain readiness checklist signed per student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Project logbook issued and page 1 completed</w:t>
            </w:r>
          </w:p>
        </w:tc>
        <w:tc>
          <w:tcPr>
            <w:tcW w:type="dxa" w:w="1077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Computer lab</w:t>
            </w:r>
          </w:p>
        </w:tc>
        <w:tc>
          <w:tcPr>
            <w:tcW w:type="dxa" w:w="1332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1304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/>
                <w:color w:val="16324F"/>
                <w:sz w:val="17"/>
                <w:rFonts w:ascii="Times New Roman" w:hAnsi="Times New Roman" w:cs="Times New Roman"/>
              </w:rPr>
              <w:t>Week 6: 12-16/10/2026</w:t>
            </w:r>
          </w:p>
        </w:tc>
        <w:tc>
          <w:tcPr>
            <w:tcW w:type="dxa" w:w="1694"/>
            <w:vMerge/>
          </w:tcPr>
          <w:p/>
        </w:tc>
        <w:tc>
          <w:tcPr>
            <w:tcW w:type="dxa" w:w="1694"/>
            <w:vMerge/>
          </w:tcPr>
          <w:p/>
        </w:tc>
        <w:tc>
          <w:tcPr>
            <w:tcW w:type="dxa" w:w="2523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Types of programming languages by level of access to the hardware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Low level programming languages</w:t>
            </w:r>
          </w:p>
          <w:p>
            <w:pPr>
              <w:spacing w:before="0" w:after="20" w:line="240" w:lineRule="auto"/>
              <w:ind w:left="198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▪ Machine language</w:t>
            </w:r>
          </w:p>
          <w:p>
            <w:pPr>
              <w:spacing w:before="0" w:after="20" w:line="240" w:lineRule="auto"/>
              <w:ind w:left="198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▪ Assembly language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High level programming languages</w:t>
            </w:r>
          </w:p>
          <w:p>
            <w:pPr>
              <w:spacing w:before="0" w:after="20" w:line="240" w:lineRule="auto"/>
              <w:ind w:left="198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▪ Interpreted programming languages (including scripting languages)</w:t>
            </w:r>
          </w:p>
          <w:p>
            <w:pPr>
              <w:spacing w:before="0" w:after="20" w:line="240" w:lineRule="auto"/>
              <w:ind w:left="198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▪ Compiled programming languages</w:t>
            </w:r>
          </w:p>
        </w:tc>
        <w:tc>
          <w:tcPr>
            <w:tcW w:type="dxa" w:w="314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Trainer demonstration: compile a tiny C function and display the generated assembly (gcc -S) and the machine code (objdump) — students observe one piece of logic at three levels of abstraction.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Individual structured comparison table: level, readability, portability, speed, degree of hardware access.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Debate (Bloom: Evaluate): “For Rwanda’s embedded systems and IoT sector, which is the more valuable skill — low-level or high-level programming?” Teams argue both sides with reference to smart electricity meters, Zipline drones and payment terminals.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Self-study (1h): one-page summary with two examples per category.</w:t>
            </w:r>
          </w:p>
        </w:tc>
        <w:tc>
          <w:tcPr>
            <w:tcW w:type="dxa" w:w="161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1 PC per student with GCC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Projector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Comparison table template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Debate motion cards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Whiteboard and markers</w:t>
            </w:r>
          </w:p>
        </w:tc>
        <w:tc>
          <w:tcPr>
            <w:tcW w:type="dxa" w:w="161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Completed comparison table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Debate observation rubric: argument quality and use of evidence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Self-study summary sheet</w:t>
            </w:r>
          </w:p>
        </w:tc>
        <w:tc>
          <w:tcPr>
            <w:tcW w:type="dxa" w:w="1077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Computer lab / Classroom</w:t>
            </w:r>
          </w:p>
        </w:tc>
        <w:tc>
          <w:tcPr>
            <w:tcW w:type="dxa" w:w="1332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1304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/>
                <w:color w:val="16324F"/>
                <w:sz w:val="17"/>
                <w:rFonts w:ascii="Times New Roman" w:hAnsi="Times New Roman" w:cs="Times New Roman"/>
              </w:rPr>
              <w:t>Week 7: 19-23/10/2026</w:t>
            </w:r>
          </w:p>
        </w:tc>
        <w:tc>
          <w:tcPr>
            <w:tcW w:type="dxa" w:w="1694"/>
            <w:vMerge/>
          </w:tcPr>
          <w:p/>
        </w:tc>
        <w:tc>
          <w:tcPr>
            <w:tcW w:type="dxa" w:w="1694"/>
            <w:vMerge/>
          </w:tcPr>
          <w:p/>
        </w:tc>
        <w:tc>
          <w:tcPr>
            <w:tcW w:type="dxa" w:w="2523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Types of programming languages by usage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Commercial languages ▪ COBOL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Scientific languages ▪ FORTRAN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General purpose languages ▪ BASIC ▪ C ▪ C++ ▪ Java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Special purpose languages ▪ SQL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Computer programming paradigms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Procedural-oriented: FORTRAN, ALGOL, C, BASIC, ADA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Logic-oriented: Prolog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Object-oriented: C++, JAVA, C#</w:t>
            </w:r>
          </w:p>
        </w:tc>
        <w:tc>
          <w:tcPr>
            <w:tcW w:type="dxa" w:w="314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Guided classification: given 15 language cards, students place each on a two-axis grid (usage × paradigm) and justify the placement (Bloom: Analyse).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Code-sample comparison: the same “sum a list” task shown in C (procedural), Java (object-oriented) and Prolog (logic); students annotate what differs and why.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Research task launched — “Language Landscape of Rwanda’s Tech Sector”: pairs investigate one Rwandan digital service (Irembo, MoMo/MoMoPay, the RSSB portal, Zipline, bank mobile applications, RURA systems) and identify the likely languages and paradigms, with reasons.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Self-study (1h): complete research notes and draft the slide outline.</w:t>
            </w:r>
          </w:p>
        </w:tc>
        <w:tc>
          <w:tcPr>
            <w:tcW w:type="dxa" w:w="161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1 PC per student with internet access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Projector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Language cards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Code sample handouts (C, Java, Prolog)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Presentation template</w:t>
            </w:r>
          </w:p>
        </w:tc>
        <w:tc>
          <w:tcPr>
            <w:tcW w:type="dxa" w:w="161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Classification grid with written justifications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Annotated code samples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Research notes checked against a checklist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Draft slide outline</w:t>
            </w:r>
          </w:p>
        </w:tc>
        <w:tc>
          <w:tcPr>
            <w:tcW w:type="dxa" w:w="1077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Computer lab</w:t>
            </w:r>
          </w:p>
        </w:tc>
        <w:tc>
          <w:tcPr>
            <w:tcW w:type="dxa" w:w="1332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1304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/>
                <w:color w:val="16324F"/>
                <w:sz w:val="17"/>
                <w:rFonts w:ascii="Times New Roman" w:hAnsi="Times New Roman" w:cs="Times New Roman"/>
              </w:rPr>
              <w:t>Week 8: 26-30/10/2026</w:t>
            </w:r>
          </w:p>
        </w:tc>
        <w:tc>
          <w:tcPr>
            <w:tcW w:type="dxa" w:w="1694"/>
            <w:vMerge/>
          </w:tcPr>
          <w:p/>
        </w:tc>
        <w:tc>
          <w:tcPr>
            <w:tcW w:type="dxa" w:w="1694"/>
            <w:vMerge/>
          </w:tcPr>
          <w:p/>
        </w:tc>
        <w:tc>
          <w:tcPr>
            <w:tcW w:type="dxa" w:w="2523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• Consolidation of Learning Outcome 2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• Presentation of research findings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• CAT 1 — midterm continuous assessment covering LO1 and LO2</w:t>
            </w:r>
          </w:p>
        </w:tc>
        <w:tc>
          <w:tcPr>
            <w:tcW w:type="dxa" w:w="314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Group presentations (5 minutes plus 2 minutes of questions): “Language Landscape of Rwanda’s Tech Sector”, assessed with a shared rubric covering accuracy, correctness of classification and reference to NST2 and the ICT Sector Strategic Plan.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Peer assessment using the same rubric, developing evaluative judgement (Bloom: Evaluate).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CAT 1 (midterm summative assessment): written paper on LO1 and LO2, mapped to performance criteria 1.1–1.2 and 2.1–2.4, weighted as in the module assessment grid (7% and 13%).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Feedback session and individual improvement plans for Not Yet Competent students.</w:t>
            </w:r>
          </w:p>
        </w:tc>
        <w:tc>
          <w:tcPr>
            <w:tcW w:type="dxa" w:w="161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Projector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Presentation rubric (trainer and peer copies)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CAT 1 papers and answer booklets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learning platform (mis.amashuri.com) for grading</w:t>
            </w:r>
          </w:p>
        </w:tc>
        <w:tc>
          <w:tcPr>
            <w:tcW w:type="dxa" w:w="161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Presentation rubric scores plus peer rubrics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CAT 1 scripts and mark sheet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LO2 competency record: Competent / Not Yet Competent per criterion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Improvement plans on file</w:t>
            </w:r>
          </w:p>
        </w:tc>
        <w:tc>
          <w:tcPr>
            <w:tcW w:type="dxa" w:w="1077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Classroom</w:t>
            </w:r>
          </w:p>
        </w:tc>
        <w:tc>
          <w:tcPr>
            <w:tcW w:type="dxa" w:w="1332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1304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/>
                <w:color w:val="16324F"/>
                <w:sz w:val="17"/>
                <w:rFonts w:ascii="Times New Roman" w:hAnsi="Times New Roman" w:cs="Times New Roman"/>
              </w:rPr>
              <w:t>Week 9: 02-06/11/2026</w:t>
            </w:r>
          </w:p>
        </w:tc>
        <w:tc>
          <w:tcPr>
            <w:tcW w:type="dxa" w:w="1531"/>
            <w:vMerge w:val="restart"/>
          </w:tcPr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16324F"/>
                <w:sz w:val="17"/>
                <w:rFonts w:ascii="Bookman Old Style" w:hAnsi="Bookman Old Style" w:cs="Bookman Old Style"/>
              </w:rPr>
              <w:t>Learning outcome 3: Write/Develop algorithms and flowcharts</w:t>
            </w:r>
          </w:p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16324F"/>
                <w:sz w:val="17"/>
                <w:rFonts w:ascii="Bookman Old Style" w:hAnsi="Bookman Old Style" w:cs="Bookman Old Style"/>
              </w:rPr>
            </w:r>
          </w:p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16324F"/>
                <w:sz w:val="17"/>
                <w:rFonts w:ascii="Bookman Old Style" w:hAnsi="Bookman Old Style" w:cs="Bookman Old Style"/>
              </w:rPr>
            </w:r>
          </w:p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16324F"/>
                <w:sz w:val="17"/>
                <w:rFonts w:ascii="Bookman Old Style" w:hAnsi="Bookman Old Style" w:cs="Bookman Old Style"/>
              </w:rPr>
            </w:r>
          </w:p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16324F"/>
                <w:sz w:val="17"/>
                <w:rFonts w:ascii="Bookman Old Style" w:hAnsi="Bookman Old Style" w:cs="Bookman Old Style"/>
              </w:rPr>
            </w:r>
          </w:p>
        </w:tc>
        <w:tc>
          <w:tcPr>
            <w:tcW w:type="dxa" w:w="1106"/>
            <w:vMerge w:val="restart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16324F"/>
                <w:sz w:val="16"/>
                <w:rFonts w:ascii="Bookman Old Style" w:hAnsi="Bookman Old Style" w:cs="Bookman Old Style"/>
              </w:rPr>
              <w:t>30 hours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Bookman Old Style" w:hAnsi="Bookman Old Style"/>
                <w:b/>
                <w:color w:val="16324F"/>
                <w:sz w:val="16"/>
                <w:rFonts w:ascii="Bookman Old Style" w:hAnsi="Bookman Old Style" w:cs="Bookman Old Style"/>
              </w:rPr>
              <w:t>(25h in Term I, 5h in Term II)</w:t>
            </w:r>
          </w:p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16324F"/>
                <w:sz w:val="16"/>
                <w:rFonts w:ascii="Bookman Old Style" w:hAnsi="Bookman Old Style" w:cs="Bookman Old Style"/>
              </w:rPr>
            </w:r>
          </w:p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16324F"/>
                <w:sz w:val="16"/>
                <w:rFonts w:ascii="Bookman Old Style" w:hAnsi="Bookman Old Style" w:cs="Bookman Old Style"/>
              </w:rPr>
            </w:r>
          </w:p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16324F"/>
                <w:sz w:val="16"/>
                <w:rFonts w:ascii="Bookman Old Style" w:hAnsi="Bookman Old Style" w:cs="Bookman Old Style"/>
              </w:rPr>
            </w:r>
          </w:p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16324F"/>
                <w:sz w:val="16"/>
                <w:rFonts w:ascii="Bookman Old Style" w:hAnsi="Bookman Old Style" w:cs="Bookman Old Style"/>
              </w:rPr>
            </w:r>
          </w:p>
        </w:tc>
        <w:tc>
          <w:tcPr>
            <w:tcW w:type="dxa" w:w="2523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Apply steps in problem solving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Identify properties of an algorithm</w:t>
            </w:r>
          </w:p>
          <w:p>
            <w:pPr>
              <w:spacing w:before="0" w:after="20" w:line="240" w:lineRule="auto"/>
              <w:ind w:left="198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▪ Finiteness</w:t>
            </w:r>
          </w:p>
          <w:p>
            <w:pPr>
              <w:spacing w:before="0" w:after="20" w:line="240" w:lineRule="auto"/>
              <w:ind w:left="198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▪ Definiteness</w:t>
            </w:r>
          </w:p>
          <w:p>
            <w:pPr>
              <w:spacing w:before="0" w:after="20" w:line="240" w:lineRule="auto"/>
              <w:ind w:left="198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▪ Input</w:t>
            </w:r>
          </w:p>
          <w:p>
            <w:pPr>
              <w:spacing w:before="0" w:after="20" w:line="240" w:lineRule="auto"/>
              <w:ind w:left="198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▪ Output</w:t>
            </w:r>
          </w:p>
        </w:tc>
        <w:tc>
          <w:tcPr>
            <w:tcW w:type="dxa" w:w="314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Unplugged starter: students write instructions for making Rwandan tea or tying a shoe, and the trainer follows them literally. The failures expose ambiguity and non-termination (Bloom: Understand).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The four properties are derived from those failures, then formally defined and recorded.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Pair task: given six candidate “algorithms”, identify which property each one violates (Bloom: Analyse).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Project link: students restate three CHW system requirements (add, record, list) as problem statements with explicit inputs and outputs.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Self-study (1h): write a valid algorithm for “register a new health post” demonstrating all four properties.</w:t>
            </w:r>
          </w:p>
        </w:tc>
        <w:tc>
          <w:tcPr>
            <w:tcW w:type="dxa" w:w="161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Whiteboard and markers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Project logbooks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Four-property checklist handout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Faulty-algorithm worksheet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Everyday materials for the unplugged task</w:t>
            </w:r>
          </w:p>
        </w:tc>
        <w:tc>
          <w:tcPr>
            <w:tcW w:type="dxa" w:w="161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Faulty-algorithm worksheet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Project logbook entry: three problem statements with inputs and outputs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Self-study algorithm marked against the four-property checklist</w:t>
            </w:r>
          </w:p>
        </w:tc>
        <w:tc>
          <w:tcPr>
            <w:tcW w:type="dxa" w:w="1077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Classroom</w:t>
            </w:r>
          </w:p>
        </w:tc>
        <w:tc>
          <w:tcPr>
            <w:tcW w:type="dxa" w:w="1332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1304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/>
                <w:color w:val="16324F"/>
                <w:sz w:val="17"/>
                <w:rFonts w:ascii="Times New Roman" w:hAnsi="Times New Roman" w:cs="Times New Roman"/>
              </w:rPr>
              <w:t>Week 10: 09-13/11/2026</w:t>
            </w:r>
          </w:p>
        </w:tc>
        <w:tc>
          <w:tcPr>
            <w:tcW w:type="dxa" w:w="1694"/>
            <w:vMerge/>
          </w:tcPr>
          <w:p/>
        </w:tc>
        <w:tc>
          <w:tcPr>
            <w:tcW w:type="dxa" w:w="1694"/>
            <w:vMerge/>
          </w:tcPr>
          <w:p/>
        </w:tc>
        <w:tc>
          <w:tcPr>
            <w:tcW w:type="dxa" w:w="2523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Identify algorithms by types</w:t>
            </w:r>
          </w:p>
          <w:p>
            <w:pPr>
              <w:spacing w:before="0" w:after="20" w:line="240" w:lineRule="auto"/>
              <w:ind w:left="198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▪ Sequence</w:t>
            </w:r>
          </w:p>
          <w:p>
            <w:pPr>
              <w:spacing w:before="0" w:after="20" w:line="240" w:lineRule="auto"/>
              <w:ind w:left="198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▪ Branching (Selection)</w:t>
            </w:r>
          </w:p>
          <w:p>
            <w:pPr>
              <w:spacing w:before="0" w:after="20" w:line="240" w:lineRule="auto"/>
              <w:ind w:left="198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▪ Loop (Repetition)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Algorithm development process</w:t>
            </w:r>
          </w:p>
          <w:p>
            <w:pPr>
              <w:spacing w:before="0" w:after="20" w:line="240" w:lineRule="auto"/>
              <w:ind w:left="198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▪ Obtain a description of the problem</w:t>
            </w:r>
          </w:p>
          <w:p>
            <w:pPr>
              <w:spacing w:before="0" w:after="20" w:line="240" w:lineRule="auto"/>
              <w:ind w:left="198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▪ Analyze the problem</w:t>
            </w:r>
          </w:p>
          <w:p>
            <w:pPr>
              <w:spacing w:before="0" w:after="20" w:line="240" w:lineRule="auto"/>
              <w:ind w:left="198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▪ Develop a high-level algorithm</w:t>
            </w:r>
          </w:p>
          <w:p>
            <w:pPr>
              <w:spacing w:before="0" w:after="20" w:line="240" w:lineRule="auto"/>
              <w:ind w:left="198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▪ Refine the algorithm by adding more detail</w:t>
            </w:r>
          </w:p>
          <w:p>
            <w:pPr>
              <w:spacing w:before="0" w:after="20" w:line="240" w:lineRule="auto"/>
              <w:ind w:left="198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▪ Review the algorithm</w:t>
            </w:r>
          </w:p>
        </w:tc>
        <w:tc>
          <w:tcPr>
            <w:tcW w:type="dxa" w:w="314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Human-algorithm activity: the class physically executes sequence, selection and repetition instructions, then names each structure.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Worked walkthrough of the full five-stage development process on one CHW requirement: “list all locations with a given disease”.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Individual application (Bloom: Apply): students take a second requirement through all five stages in the logbook, showing at least two levels of refinement.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Gallery walk with peer feedback stickers.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Self-study (1h): refine the algorithm in response to peer feedback.</w:t>
            </w:r>
          </w:p>
        </w:tc>
        <w:tc>
          <w:tcPr>
            <w:tcW w:type="dxa" w:w="161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Whiteboard and markers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Project logbooks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Five-stage process poster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Feedback stickers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Flip chart paper</w:t>
            </w:r>
          </w:p>
        </w:tc>
        <w:tc>
          <w:tcPr>
            <w:tcW w:type="dxa" w:w="161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Logbook entry showing all five stages and two refinement levels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Peer feedback slips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Gallery-walk observation notes</w:t>
            </w:r>
          </w:p>
        </w:tc>
        <w:tc>
          <w:tcPr>
            <w:tcW w:type="dxa" w:w="1077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Classroom</w:t>
            </w:r>
          </w:p>
        </w:tc>
        <w:tc>
          <w:tcPr>
            <w:tcW w:type="dxa" w:w="1332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1304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/>
                <w:color w:val="16324F"/>
                <w:sz w:val="17"/>
                <w:rFonts w:ascii="Times New Roman" w:hAnsi="Times New Roman" w:cs="Times New Roman"/>
              </w:rPr>
              <w:t>Week 11: 16-20/11/2026</w:t>
            </w:r>
          </w:p>
        </w:tc>
        <w:tc>
          <w:tcPr>
            <w:tcW w:type="dxa" w:w="1694"/>
            <w:vMerge/>
          </w:tcPr>
          <w:p/>
        </w:tc>
        <w:tc>
          <w:tcPr>
            <w:tcW w:type="dxa" w:w="1694"/>
            <w:vMerge/>
          </w:tcPr>
          <w:p/>
        </w:tc>
        <w:tc>
          <w:tcPr>
            <w:tcW w:type="dxa" w:w="2523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Use appropriate symbols and rules in flowchart and algorithm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Identify diagrams used in flowchart and symbols in algorithm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Meaning of shapes used in flowcharts (oval, rectangle, parallelogram, rhombus, circle, arrow, line)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Identify keywords of algorithm and flowchart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Use rules of flowchart and algorithm: starting and ending; actions; connection and continuation; data flow controls and decisions</w:t>
            </w:r>
          </w:p>
        </w:tc>
        <w:tc>
          <w:tcPr>
            <w:tcW w:type="dxa" w:w="314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Symbol matching game (Bloom: Remember), followed by rule derivation from correct and incorrect flowchart examples (Bloom: Analyse).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Lab: students draw flowcharts digitally using draw.io (offline application) or Dia, saving to the lab drive.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Error hunt: five flowcharts each containing one rule violation (missing terminator, decision with a single exit, crossed flow lines) to be identified and corrected.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Project link: draw the top-level flowchart of the CHW system main menu loop.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Self-study (1h): redraw one Week 10 algorithm as a fully conforming flowchart.</w:t>
            </w:r>
          </w:p>
        </w:tc>
        <w:tc>
          <w:tcPr>
            <w:tcW w:type="dxa" w:w="161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1 PC per student with draw.io (offline) or Dia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Projector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Symbol card sets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Error-hunt worksheets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Project logbooks</w:t>
            </w:r>
          </w:p>
        </w:tc>
        <w:tc>
          <w:tcPr>
            <w:tcW w:type="dxa" w:w="161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Digital flowchart files submitted to the learning platform (mis.amashuri.com)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Completed error-hunt worksheet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Main-menu flowchart in the project logbook</w:t>
            </w:r>
          </w:p>
        </w:tc>
        <w:tc>
          <w:tcPr>
            <w:tcW w:type="dxa" w:w="1077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Computer lab</w:t>
            </w:r>
          </w:p>
        </w:tc>
        <w:tc>
          <w:tcPr>
            <w:tcW w:type="dxa" w:w="1332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1304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/>
                <w:color w:val="16324F"/>
                <w:sz w:val="17"/>
                <w:rFonts w:ascii="Times New Roman" w:hAnsi="Times New Roman" w:cs="Times New Roman"/>
              </w:rPr>
              <w:t>Week 12: 23-27/11/2026</w:t>
            </w:r>
          </w:p>
        </w:tc>
        <w:tc>
          <w:tcPr>
            <w:tcW w:type="dxa" w:w="1694"/>
            <w:vMerge/>
          </w:tcPr>
          <w:p/>
        </w:tc>
        <w:tc>
          <w:tcPr>
            <w:tcW w:type="dxa" w:w="1694"/>
            <w:vMerge/>
          </w:tcPr>
          <w:p/>
        </w:tc>
        <w:tc>
          <w:tcPr>
            <w:tcW w:type="dxa" w:w="2523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Apply algorithms and flowcharts in problem solving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Apply algorithm based on classification: recursive, iterative, logical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Evaluate algorithm based on rules and properties: completeness, efficiency, complexity (Omega, Big O)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Advantages and disadvantages of algorithm and flowchart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Identify types of flowchart</w:t>
            </w:r>
          </w:p>
        </w:tc>
        <w:tc>
          <w:tcPr>
            <w:tcW w:type="dxa" w:w="314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Hand-trace and compare recursive and iterative versions of factorial and sum algorithms using trace tables (Bloom: Analyse).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Counting-operations activity: students count the steps a linear search takes over 10, 100 and 1000 records and plot the growth, deriving O(n) informally before the notation is introduced.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Rwanda context problem: “Rwanda’s community health worker network reports to a central system. Compare a design that scans every record with one that indexes by district.” Students evaluate and justify a choice in writing (Bloom: Evaluate).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Structured T-chart on the advantages and disadvantages of algorithms versus flowcharts.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Self-study (1h): complexity worksheet.</w:t>
            </w:r>
          </w:p>
        </w:tc>
        <w:tc>
          <w:tcPr>
            <w:tcW w:type="dxa" w:w="161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Whiteboard and markers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1 PC per student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Projector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Trace table templates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Graph paper or spreadsheet software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Complexity worksheet</w:t>
            </w:r>
          </w:p>
        </w:tc>
        <w:tc>
          <w:tcPr>
            <w:tcW w:type="dxa" w:w="161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Completed trace tables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Growth plot (hand-drawn or spreadsheet)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Written justification paragraph marked against a rubric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Completed T-chart</w:t>
            </w:r>
          </w:p>
        </w:tc>
        <w:tc>
          <w:tcPr>
            <w:tcW w:type="dxa" w:w="1077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Classroom / Computer lab</w:t>
            </w:r>
          </w:p>
        </w:tc>
        <w:tc>
          <w:tcPr>
            <w:tcW w:type="dxa" w:w="1332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1304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/>
                <w:color w:val="16324F"/>
                <w:sz w:val="17"/>
                <w:rFonts w:ascii="Times New Roman" w:hAnsi="Times New Roman" w:cs="Times New Roman"/>
              </w:rPr>
              <w:t>Week 13: 30/11-04/12/2026</w:t>
            </w:r>
          </w:p>
        </w:tc>
        <w:tc>
          <w:tcPr>
            <w:tcW w:type="dxa" w:w="1694"/>
            <w:vMerge/>
          </w:tcPr>
          <w:p/>
        </w:tc>
        <w:tc>
          <w:tcPr>
            <w:tcW w:type="dxa" w:w="1694"/>
            <w:vMerge/>
          </w:tcPr>
          <w:p/>
        </w:tc>
        <w:tc>
          <w:tcPr>
            <w:tcW w:type="dxa" w:w="2523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Converting an algorithm into a flowchart and vice-versa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Convert algorithm into flowchart: given an algorithm draw the corresponding flowchart; compare the result to the mother algorithm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Convert flowchart into algorithm: given a flowchart write the corresponding algorithm; compare the result to the mother flowchart</w:t>
            </w:r>
          </w:p>
        </w:tc>
        <w:tc>
          <w:tcPr>
            <w:tcW w:type="dxa" w:w="314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Paired conversion relay: student A writes an algorithm, student B converts it to a flowchart without seeing A’s drawing; the pair then compares and reconciles differences (Bloom: Apply/Evaluate).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Reverse conversion using a supplied flowchart for the “cases &lt;disease&gt;” requirement.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DESIGN SPRINT — Project Milestone 1: teams of three produce the complete algorithm and flowchart set for the CHW system covering requirements 1–5 and 10–12, submitted as the design deliverable.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Design review against a rubric; teams revise in response.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Self-study (1h): finalise the design deliverable.</w:t>
            </w:r>
          </w:p>
        </w:tc>
        <w:tc>
          <w:tcPr>
            <w:tcW w:type="dxa" w:w="161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1 PC per student with draw.io or Dia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Printer for the design review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Projector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Project logbooks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Design rubric</w:t>
            </w:r>
          </w:p>
        </w:tc>
        <w:tc>
          <w:tcPr>
            <w:tcW w:type="dxa" w:w="161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Milestone 1 design pack (algorithms and flowcharts) marked against the rubric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Conversion relay comparison sheets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LO3 progress record</w:t>
            </w:r>
          </w:p>
        </w:tc>
        <w:tc>
          <w:tcPr>
            <w:tcW w:type="dxa" w:w="1077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Computer lab</w:t>
            </w:r>
          </w:p>
        </w:tc>
        <w:tc>
          <w:tcPr>
            <w:tcW w:type="dxa" w:w="1332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1304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/>
                <w:color w:val="16324F"/>
                <w:sz w:val="17"/>
                <w:rFonts w:ascii="Times New Roman" w:hAnsi="Times New Roman" w:cs="Times New Roman"/>
              </w:rPr>
              <w:t>Week 14: 07-11/12/2026</w:t>
            </w:r>
          </w:p>
        </w:tc>
        <w:tc>
          <w:tcPr>
            <w:tcW w:type="dxa" w:w="1531"/>
          </w:tcPr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16324F"/>
                <w:sz w:val="17"/>
                <w:rFonts w:ascii="Bookman Old Style" w:hAnsi="Bookman Old Style" w:cs="Bookman Old Style"/>
              </w:rPr>
              <w:t>End of Term I summative assessment</w:t>
            </w:r>
          </w:p>
        </w:tc>
        <w:tc>
          <w:tcPr>
            <w:tcW w:type="dxa" w:w="1106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16324F"/>
                <w:sz w:val="16"/>
                <w:rFonts w:ascii="Bookman Old Style" w:hAnsi="Bookman Old Style" w:cs="Bookman Old Style"/>
              </w:rPr>
              <w:t>4 hours</w:t>
            </w:r>
          </w:p>
        </w:tc>
        <w:tc>
          <w:tcPr>
            <w:tcW w:type="dxa" w:w="2523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• Revision of Learning Outcomes 1, 2 and 3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• End of Term I examination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• Marking and internal moderation</w:t>
            </w:r>
          </w:p>
        </w:tc>
        <w:tc>
          <w:tcPr>
            <w:tcW w:type="dxa" w:w="314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Revision clinic targeted at the performance criteria where the term’s formative evidence showed the weakest attainment.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End of Term I examination: Section A — number systems; Section B — programming languages and paradigms; Section C — algorithm and flowchart design.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Marking and internal moderation of a sample of scripts by a second trainer.</w:t>
            </w:r>
          </w:p>
        </w:tc>
        <w:tc>
          <w:tcPr>
            <w:tcW w:type="dxa" w:w="161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Examination papers and answer booklets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Invigilation timetable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Marking scheme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learning platform (mis.amashuri.com)</w:t>
            </w:r>
          </w:p>
        </w:tc>
        <w:tc>
          <w:tcPr>
            <w:tcW w:type="dxa" w:w="161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End of Term I examination scripts and mark sheet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Moderation record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Item analysis identifying weak performance criteria</w:t>
            </w:r>
          </w:p>
        </w:tc>
        <w:tc>
          <w:tcPr>
            <w:tcW w:type="dxa" w:w="1077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Classroom</w:t>
            </w:r>
          </w:p>
        </w:tc>
        <w:tc>
          <w:tcPr>
            <w:tcW w:type="dxa" w:w="1332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1304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/>
                <w:color w:val="16324F"/>
                <w:sz w:val="17"/>
                <w:rFonts w:ascii="Times New Roman" w:hAnsi="Times New Roman" w:cs="Times New Roman"/>
              </w:rPr>
              <w:t>Week 15: 14-18/12/2026</w:t>
            </w:r>
          </w:p>
        </w:tc>
        <w:tc>
          <w:tcPr>
            <w:tcW w:type="dxa" w:w="1531"/>
          </w:tcPr>
          <w:p>
            <w:pPr>
              <w:spacing w:before="0" w:after="20" w:line="240" w:lineRule="auto"/>
            </w:pPr>
            <w:r/>
            <w:r>
              <w:rPr>
                <w:rFonts w:ascii="Bookman Old Style" w:hAnsi="Bookman Old Style"/>
                <w:b/>
                <w:color w:val="16324F"/>
                <w:sz w:val="17"/>
                <w:rFonts w:ascii="Bookman Old Style" w:hAnsi="Bookman Old Style" w:cs="Bookman Old Style"/>
              </w:rPr>
              <w:t>Results processing and reporting</w:t>
            </w:r>
          </w:p>
        </w:tc>
        <w:tc>
          <w:tcPr>
            <w:tcW w:type="dxa" w:w="1106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Bookman Old Style" w:hAnsi="Bookman Old Style"/>
                <w:b/>
                <w:color w:val="16324F"/>
                <w:sz w:val="16"/>
                <w:rFonts w:ascii="Bookman Old Style" w:hAnsi="Bookman Old Style" w:cs="Bookman Old Style"/>
              </w:rPr>
              <w:t>3 hours</w:t>
            </w:r>
          </w:p>
        </w:tc>
        <w:tc>
          <w:tcPr>
            <w:tcW w:type="dxa" w:w="2523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• Results consolidation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• School report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• Remediation planning and Term II preparation</w:t>
            </w:r>
          </w:p>
        </w:tc>
        <w:tc>
          <w:tcPr>
            <w:tcW w:type="dxa" w:w="314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Return and review of scripts with a common-error walkthrough.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Individual competency review: each student receives a Competent / Not Yet Competent statement for every performance criterion in LO1, LO2 and LO3 assessed so far.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Improvement plans and a holiday practice pack issued to Not Yet Competent students.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Term II preview and confirmation of project teams for the CHW system build.</w:t>
            </w:r>
          </w:p>
        </w:tc>
        <w:tc>
          <w:tcPr>
            <w:tcW w:type="dxa" w:w="161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School report templates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Competency record sheets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Holiday practice pack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Term II outline</w:t>
            </w:r>
          </w:p>
        </w:tc>
        <w:tc>
          <w:tcPr>
            <w:tcW w:type="dxa" w:w="1616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Completed school reports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Signed competency record per student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Issued improvement plans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✓ Confirmed project team list</w:t>
            </w:r>
          </w:p>
        </w:tc>
        <w:tc>
          <w:tcPr>
            <w:tcW w:type="dxa" w:w="1077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  <w:t>Classroom</w:t>
            </w:r>
          </w:p>
        </w:tc>
        <w:tc>
          <w:tcPr>
            <w:tcW w:type="dxa" w:w="1332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  <w:rFonts w:ascii="Times New Roman" w:hAnsi="Times New Roman" w:cs="Times New Roman"/>
              </w:rPr>
            </w:r>
          </w:p>
        </w:tc>
      </w:tr>
    </w:tbl>
    <w:p/>
    <w:p>
      <w:pPr>
        <w:spacing w:after="40"/>
      </w:pPr>
      <w:r>
        <w:rPr>
          <w:rFonts w:ascii="Bookman Old Style" w:hAnsi="Bookman Old Style"/>
          <w:b/>
          <w:sz w:val="20"/>
        </w:rPr>
        <w:t>Trainer's name and Signature:</w:t>
      </w:r>
    </w:p>
    <w:p>
      <w:pPr>
        <w:spacing w:after="40"/>
      </w:pPr>
      <w:r>
        <w:rPr>
          <w:rFonts w:ascii="Bookman Old Style" w:hAnsi="Bookman Old Style"/>
          <w:b w:val="0"/>
          <w:sz w:val="20"/>
        </w:rPr>
        <w:t>Assadou Nzigamasabo</w:t>
      </w:r>
    </w:p>
    <w:p>
      <w:pPr>
        <w:spacing w:after="40"/>
      </w:pPr>
      <w:r>
        <w:rPr>
          <w:rFonts w:ascii="Bookman Old Style" w:hAnsi="Bookman Old Style"/>
          <w:b w:val="0"/>
          <w:sz w:val="20"/>
        </w:rPr>
      </w:r>
    </w:p>
    <w:p>
      <w:pPr>
        <w:spacing w:after="40"/>
      </w:pPr>
      <w:r>
        <w:rPr>
          <w:rFonts w:ascii="Bookman Old Style" w:hAnsi="Bookman Old Style"/>
          <w:b/>
          <w:sz w:val="20"/>
        </w:rPr>
        <w:t>Verified and approved by:</w:t>
      </w:r>
    </w:p>
    <w:p>
      <w:pPr>
        <w:spacing w:after="40"/>
      </w:pPr>
      <w:r>
        <w:rPr>
          <w:rFonts w:ascii="Bookman Old Style" w:hAnsi="Bookman Old Style"/>
          <w:b w:val="0"/>
          <w:sz w:val="20"/>
        </w:rPr>
        <w:t>NYIRANZEYIMANA Josephine</w:t>
      </w:r>
    </w:p>
    <w:p>
      <w:pPr>
        <w:spacing w:after="40"/>
      </w:pPr>
      <w:r>
        <w:rPr>
          <w:rFonts w:ascii="Bookman Old Style" w:hAnsi="Bookman Old Style"/>
          <w:b w:val="0"/>
          <w:sz w:val="20"/>
        </w:rPr>
        <w:t>NGA SPES Program Coordinator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16324F"/>
        <w:sz w:val="16"/>
      </w:rPr>
      <w:t xml:space="preserve">New Generation Coding Academy  |  SFEPE301 — Term I Scheme of Work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1655999" cy="72047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g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5999" cy="72047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