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Frontend Technical Design</w:t>
      </w:r>
    </w:p>
    <w:p>
      <w:pPr>
        <w:spacing w:after="1400" w:before="200"/>
      </w:pPr>
      <w:r>
        <w:rPr>
          <w:i/>
          <w:iCs/>
          <w:color w:val="6B6B6B"/>
          <w:sz w:val="24"/>
          <w:szCs w:val="24"/>
        </w:rPr>
        <w:t xml:space="preserve">Module 1 — Platform Foundation · M01-4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M01-4 Frontend Technical Design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Platform Foundation (release R1)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Frontend and mobile developers, UX, 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(PRD-FND, PRD-CMP) · HLD · other M01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Overview</w:t>
        </w:r>
      </w:hyperlink>
      <w:r>
        <w:rPr>
          <w:b/>
          <w:bCs/>
          <w:sz w:val="21"/>
          <w:szCs w:val="21"/>
        </w:rPr>
        <w:tab/>
        <w:t xml:space="preserve">2</w:t>
      </w:r>
    </w:p>
    <w:p>
      <w:pPr>
        <w:tabs>
          <w:tab w:val="right" w:pos="9638" w:leader="dot"/>
        </w:tabs>
        <w:spacing w:after="30" w:before="0"/>
        <w:ind w:left="360"/>
      </w:pPr>
      <w:hyperlink w:history="1" w:anchor="h2">
        <w:r>
          <w:rPr>
            <w:b w:val="false"/>
            <w:bCs w:val="false"/>
            <w:color w:val="262626"/>
            <w:sz w:val="19"/>
            <w:szCs w:val="19"/>
          </w:rPr>
          <w:t xml:space="preserve">1.1 White-label</w:t>
        </w:r>
      </w:hyperlink>
      <w:r>
        <w:rPr>
          <w:b w:val="false"/>
          <w:bCs w:val="false"/>
          <w:sz w:val="19"/>
          <w:szCs w:val="19"/>
        </w:rPr>
        <w:tab/>
        <w:t xml:space="preserve">3</w:t>
      </w:r>
    </w:p>
    <w:p>
      <w:pPr>
        <w:tabs>
          <w:tab w:val="right" w:pos="9638" w:leader="dot"/>
        </w:tabs>
        <w:spacing w:after="30" w:before="100"/>
        <w:ind w:left="0"/>
      </w:pPr>
      <w:hyperlink w:history="1" w:anchor="h3">
        <w:r>
          <w:rPr>
            <w:b/>
            <w:bCs/>
            <w:color w:val="5B3A1E"/>
            <w:sz w:val="21"/>
            <w:szCs w:val="21"/>
          </w:rPr>
          <w:t xml:space="preserve">2. Rendering, Routing and SEO</w:t>
        </w:r>
      </w:hyperlink>
      <w:r>
        <w:rPr>
          <w:b/>
          <w:bCs/>
          <w:sz w:val="21"/>
          <w:szCs w:val="21"/>
        </w:rPr>
        <w:tab/>
        <w:t xml:space="preserve">3</w:t>
      </w:r>
    </w:p>
    <w:p>
      <w:pPr>
        <w:tabs>
          <w:tab w:val="right" w:pos="9638" w:leader="dot"/>
        </w:tabs>
        <w:spacing w:after="30" w:before="100"/>
        <w:ind w:left="0"/>
      </w:pPr>
      <w:hyperlink w:history="1" w:anchor="h4">
        <w:r>
          <w:rPr>
            <w:b/>
            <w:bCs/>
            <w:color w:val="5B3A1E"/>
            <w:sz w:val="21"/>
            <w:szCs w:val="21"/>
          </w:rPr>
          <w:t xml:space="preserve">3. Languages, Right-to-Left and Formatting</w:t>
        </w:r>
      </w:hyperlink>
      <w:r>
        <w:rPr>
          <w:b/>
          <w:bCs/>
          <w:sz w:val="21"/>
          <w:szCs w:val="21"/>
        </w:rPr>
        <w:tab/>
        <w:t xml:space="preserve">3</w:t>
      </w:r>
    </w:p>
    <w:p>
      <w:pPr>
        <w:tabs>
          <w:tab w:val="right" w:pos="9638" w:leader="dot"/>
        </w:tabs>
        <w:spacing w:after="30" w:before="100"/>
        <w:ind w:left="0"/>
      </w:pPr>
      <w:hyperlink w:history="1" w:anchor="h5">
        <w:r>
          <w:rPr>
            <w:b/>
            <w:bCs/>
            <w:color w:val="5B3A1E"/>
            <w:sz w:val="21"/>
            <w:szCs w:val="21"/>
          </w:rPr>
          <w:t xml:space="preserve">4. Upload Components</w:t>
        </w:r>
      </w:hyperlink>
      <w:r>
        <w:rPr>
          <w:b/>
          <w:bCs/>
          <w:sz w:val="21"/>
          <w:szCs w:val="21"/>
        </w:rPr>
        <w:tab/>
        <w:t xml:space="preserve">4</w:t>
      </w:r>
    </w:p>
    <w:p>
      <w:pPr>
        <w:tabs>
          <w:tab w:val="right" w:pos="9638" w:leader="dot"/>
        </w:tabs>
        <w:spacing w:after="30" w:before="0"/>
        <w:ind w:left="360"/>
      </w:pPr>
      <w:hyperlink w:history="1" w:anchor="h6">
        <w:r>
          <w:rPr>
            <w:b w:val="false"/>
            <w:bCs w:val="false"/>
            <w:color w:val="262626"/>
            <w:sz w:val="19"/>
            <w:szCs w:val="19"/>
          </w:rPr>
          <w:t xml:space="preserve">4.1 Farmer simple mode for uploads</w:t>
        </w:r>
      </w:hyperlink>
      <w:r>
        <w:rPr>
          <w:b w:val="false"/>
          <w:bCs w:val="false"/>
          <w:sz w:val="19"/>
          <w:szCs w:val="19"/>
        </w:rPr>
        <w:tab/>
        <w:t xml:space="preserve">4</w:t>
      </w:r>
    </w:p>
    <w:p>
      <w:pPr>
        <w:tabs>
          <w:tab w:val="right" w:pos="9638" w:leader="dot"/>
        </w:tabs>
        <w:spacing w:after="30" w:before="100"/>
        <w:ind w:left="0"/>
      </w:pPr>
      <w:hyperlink w:history="1" w:anchor="h7">
        <w:r>
          <w:rPr>
            <w:b/>
            <w:bCs/>
            <w:color w:val="5B3A1E"/>
            <w:sz w:val="21"/>
            <w:szCs w:val="21"/>
          </w:rPr>
          <w:t xml:space="preserve">5. Price and Unit Display</w:t>
        </w:r>
      </w:hyperlink>
      <w:r>
        <w:rPr>
          <w:b/>
          <w:bCs/>
          <w:sz w:val="21"/>
          <w:szCs w:val="21"/>
        </w:rPr>
        <w:tab/>
        <w:t xml:space="preserve">4</w:t>
      </w:r>
    </w:p>
    <w:p>
      <w:pPr>
        <w:tabs>
          <w:tab w:val="right" w:pos="9638" w:leader="dot"/>
        </w:tabs>
        <w:spacing w:after="30" w:before="100"/>
        <w:ind w:left="0"/>
      </w:pPr>
      <w:hyperlink w:history="1" w:anchor="h8">
        <w:r>
          <w:rPr>
            <w:b/>
            <w:bCs/>
            <w:color w:val="5B3A1E"/>
            <w:sz w:val="21"/>
            <w:szCs w:val="21"/>
          </w:rPr>
          <w:t xml:space="preserve">6. Cookie Banner</w:t>
        </w:r>
      </w:hyperlink>
      <w:r>
        <w:rPr>
          <w:b/>
          <w:bCs/>
          <w:sz w:val="21"/>
          <w:szCs w:val="21"/>
        </w:rPr>
        <w:tab/>
        <w:t xml:space="preserve">5</w:t>
      </w:r>
    </w:p>
    <w:p>
      <w:pPr>
        <w:tabs>
          <w:tab w:val="right" w:pos="9638" w:leader="dot"/>
        </w:tabs>
        <w:spacing w:after="30" w:before="100"/>
        <w:ind w:left="0"/>
      </w:pPr>
      <w:hyperlink w:history="1" w:anchor="h9">
        <w:r>
          <w:rPr>
            <w:b/>
            <w:bCs/>
            <w:color w:val="5B3A1E"/>
            <w:sz w:val="21"/>
            <w:szCs w:val="21"/>
          </w:rPr>
          <w:t xml:space="preserve">7. Error, Empty and Status Pages</w:t>
        </w:r>
      </w:hyperlink>
      <w:r>
        <w:rPr>
          <w:b/>
          <w:bCs/>
          <w:sz w:val="21"/>
          <w:szCs w:val="21"/>
        </w:rPr>
        <w:tab/>
        <w:t xml:space="preserve">5</w:t>
      </w:r>
    </w:p>
    <w:p>
      <w:pPr>
        <w:tabs>
          <w:tab w:val="right" w:pos="9638" w:leader="dot"/>
        </w:tabs>
        <w:spacing w:after="30" w:before="100"/>
        <w:ind w:left="0"/>
      </w:pPr>
      <w:hyperlink w:history="1" w:anchor="h10">
        <w:r>
          <w:rPr>
            <w:b/>
            <w:bCs/>
            <w:color w:val="5B3A1E"/>
            <w:sz w:val="21"/>
            <w:szCs w:val="21"/>
          </w:rPr>
          <w:t xml:space="preserve">8. Browser Security and Limits</w:t>
        </w:r>
      </w:hyperlink>
      <w:r>
        <w:rPr>
          <w:b/>
          <w:bCs/>
          <w:sz w:val="21"/>
          <w:szCs w:val="21"/>
        </w:rPr>
        <w:tab/>
        <w:t xml:space="preserve">6</w:t>
      </w:r>
    </w:p>
    <w:p>
      <w:pPr>
        <w:tabs>
          <w:tab w:val="right" w:pos="9638" w:leader="dot"/>
        </w:tabs>
        <w:spacing w:after="30" w:before="100"/>
        <w:ind w:left="0"/>
      </w:pPr>
      <w:hyperlink w:history="1" w:anchor="h11">
        <w:r>
          <w:rPr>
            <w:b/>
            <w:bCs/>
            <w:color w:val="5B3A1E"/>
            <w:sz w:val="21"/>
            <w:szCs w:val="21"/>
          </w:rPr>
          <w:t xml:space="preserve">9. Accessibility and Browser Support</w:t>
        </w:r>
      </w:hyperlink>
      <w:r>
        <w:rPr>
          <w:b/>
          <w:bCs/>
          <w:sz w:val="21"/>
          <w:szCs w:val="21"/>
        </w:rPr>
        <w:tab/>
        <w:t xml:space="preserve">6</w:t>
      </w:r>
    </w:p>
    <w:p>
      <w:pPr>
        <w:tabs>
          <w:tab w:val="right" w:pos="9638" w:leader="dot"/>
        </w:tabs>
        <w:spacing w:after="30" w:before="0"/>
        <w:ind w:left="360"/>
      </w:pPr>
      <w:hyperlink w:history="1" w:anchor="h12">
        <w:r>
          <w:rPr>
            <w:b w:val="false"/>
            <w:bCs w:val="false"/>
            <w:color w:val="262626"/>
            <w:sz w:val="19"/>
            <w:szCs w:val="19"/>
          </w:rPr>
          <w:t xml:space="preserve">9.1 Field-agent screens: installable web app with offline storage</w:t>
        </w:r>
      </w:hyperlink>
      <w:r>
        <w:rPr>
          <w:b w:val="false"/>
          <w:bCs w:val="false"/>
          <w:sz w:val="19"/>
          <w:szCs w:val="19"/>
        </w:rPr>
        <w:tab/>
        <w:t xml:space="preserve">6</w:t>
      </w:r>
    </w:p>
    <w:p>
      <w:pPr>
        <w:tabs>
          <w:tab w:val="right" w:pos="9638" w:leader="dot"/>
        </w:tabs>
        <w:spacing w:after="30" w:before="100"/>
        <w:ind w:left="0"/>
      </w:pPr>
      <w:hyperlink w:history="1" w:anchor="h13">
        <w:r>
          <w:rPr>
            <w:b/>
            <w:bCs/>
            <w:color w:val="5B3A1E"/>
            <w:sz w:val="21"/>
            <w:szCs w:val="21"/>
          </w:rPr>
          <w:t xml:space="preserve">10. Staff and Settings Screens</w:t>
        </w:r>
      </w:hyperlink>
      <w:r>
        <w:rPr>
          <w:b/>
          <w:bCs/>
          <w:sz w:val="21"/>
          <w:szCs w:val="21"/>
        </w:rPr>
        <w:tab/>
        <w:t xml:space="preserve">7</w:t>
      </w:r>
    </w:p>
    <w:p>
      <w:pPr>
        <w:tabs>
          <w:tab w:val="right" w:pos="9638" w:leader="dot"/>
        </w:tabs>
        <w:spacing w:after="30" w:before="0"/>
        <w:ind w:left="360"/>
      </w:pPr>
      <w:hyperlink w:history="1" w:anchor="h14">
        <w:r>
          <w:rPr>
            <w:b w:val="false"/>
            <w:bCs w:val="false"/>
            <w:color w:val="262626"/>
            <w:sz w:val="19"/>
            <w:szCs w:val="19"/>
          </w:rPr>
          <w:t xml:space="preserve">10.1 Shared settings-pattern components</w:t>
        </w:r>
      </w:hyperlink>
      <w:r>
        <w:rPr>
          <w:b w:val="false"/>
          <w:bCs w:val="false"/>
          <w:sz w:val="19"/>
          <w:szCs w:val="19"/>
        </w:rPr>
        <w:tab/>
        <w:t xml:space="preserve">8</w:t>
      </w:r>
    </w:p>
    <w:p>
      <w:pPr>
        <w:tabs>
          <w:tab w:val="right" w:pos="9638" w:leader="dot"/>
        </w:tabs>
        <w:spacing w:after="30" w:before="0"/>
        <w:ind w:left="360"/>
      </w:pPr>
      <w:hyperlink w:history="1" w:anchor="h15">
        <w:r>
          <w:rPr>
            <w:b w:val="false"/>
            <w:bCs w:val="false"/>
            <w:color w:val="262626"/>
            <w:sz w:val="19"/>
            <w:szCs w:val="19"/>
          </w:rPr>
          <w:t xml:space="preserve">10.2 Staff screen components</w:t>
        </w:r>
      </w:hyperlink>
      <w:r>
        <w:rPr>
          <w:b w:val="false"/>
          <w:bCs w:val="false"/>
          <w:sz w:val="19"/>
          <w:szCs w:val="19"/>
        </w:rPr>
        <w:tab/>
        <w:t xml:space="preserve">9</w:t>
      </w:r>
    </w:p>
    <w:p>
      <w:pPr>
        <w:pStyle w:val="Heading1"/>
        <w:spacing w:after="200" w:before="360"/>
      </w:pPr>
      <w:bookmarkStart w:name="h1" w:id="1"/>
      <w:r>
        <w:t xml:space="preserve">1. Overview</w:t>
      </w:r>
      <w:bookmarkEnd w:id="1"/>
    </w:p>
    <w:p>
      <w:pPr>
        <w:spacing w:after="120" w:line="276"/>
      </w:pPr>
      <w:r>
        <w:t xml:space="preserve">Module 1 provides the shared frontend foundation: the page shell, routing and addresses, language and formatting utilities, the upload components, the cookie banner, error pages and shared UI rules. The framework follows the team’s approved proposal (HLD 13.2): server-side rendering for public pages, responsive desktop-first layout, and the same API for web and apps.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Building block</w:t>
            </w:r>
          </w:p>
        </w:tc>
        <w:tc>
          <w:tcPr>
            <w:tcW w:type="dxa" w:w="693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App shell</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Header, footer, navigation, language / number-style / guide-currency switch, cookie-settings link, page containers; brand from design tokens and configuration</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Router</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Address patterns from M01-2 Section 6, redirects, “do not index” rules</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i18n layer</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Translation keys, fallback to English, right-to-left switch, formatting helpers</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Upload components</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PhotoUploader (M01-S01), VideoUploader (M01-S02), DocumentUploader (M01-S03)</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PriceDisplay (with the unit picker, M01-S04)</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Metric price, traditional-unit helper line and guide price in the viewer’s chosen guide currency</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API client</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Shared request layer: sends an Idempotency-Key on create actions, reads RateLimit headers, follows cursors</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PhoneInput (M01-S10) &amp; AddressForm (M01-S11)</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Country-aware phone number and address fields from the Country table (M01-6 Section 7)</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CookieBanner &amp; CookieSettings (M01-S05)</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Consent capture and change</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 &amp; status pages (M01-S07)</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404, 500, maintenance, offline, too many requests, blocked country, the read-only banner and the planned-maintenance notice (M01-6 Section 10); the maintenance page and banners read /status/maintenance.json from the CDN</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ActivityList (M01-S06)</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“My account activity” (own audit subset) with filters by type (GET /v1/me/activity?type=)</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PreferencesPage (M01-S09)</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 Preferences: language, number format, guide currency, time zone (M01-6 Section 7.1)</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SecurityIssuePage (M01-S08)</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“Report a security issue” page, text from the translation store (M17), linked from /.well-known/security.txt (M01-6 Section 10.1)</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Field-agent app support</w:t>
            </w:r>
          </w:p>
        </w:tc>
        <w:tc>
          <w:tcPr>
            <w:tcW w:type="dxa" w:w="693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Installable web app with offline storage for the field-agent screens (Section 9.1)</w:t>
            </w:r>
          </w:p>
        </w:tc>
      </w:tr>
      <w:tr>
        <w:trPr>
          <w:cantSplit/>
        </w:trPr>
        <w:tc>
          <w:tcPr>
            <w:tcW w:type="dxa" w:w="2699"/>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Staff and settings screens</w:t>
            </w:r>
          </w:p>
        </w:tc>
        <w:tc>
          <w:tcPr>
            <w:tcW w:type="dxa" w:w="693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Module 1 staff and settings screens M01-AD-01 to M01-AD-15 in the Admin app, and the shared settings-pattern parts every module reuses (Section 10)</w:t>
            </w:r>
          </w:p>
        </w:tc>
      </w:tr>
    </w:tbl>
    <w:p>
      <w:pPr>
        <w:spacing w:after="120"/>
      </w:pPr>
    </w:p>
    <w:p>
      <w:pPr>
        <w:pStyle w:val="Heading2"/>
      </w:pPr>
      <w:bookmarkStart w:name="h2" w:id="2"/>
      <w:r>
        <w:t xml:space="preserve">1.1 White-label</w:t>
      </w:r>
      <w:bookmarkEnd w:id="2"/>
    </w:p>
    <w:p>
      <w:pPr>
        <w:spacing w:after="120" w:line="276"/>
      </w:pPr>
      <w:r>
        <w:t xml:space="preserve">No brand name, colours or logos are hard-coded (M01-2 ENV-012). Colours, fonts and spacing come from the design tokens (UX/UI Foundation, Section 6); the brand name, logo files, domain, email sender and legal entity come from configuration. Components never contain the text “OudhTrade”; it is a translation parameter filled from configuration.</w:t>
      </w:r>
    </w:p>
    <w:p>
      <w:pPr>
        <w:pStyle w:val="Heading1"/>
        <w:spacing w:after="200" w:before="360"/>
      </w:pPr>
      <w:bookmarkStart w:name="h3" w:id="3"/>
      <w:r>
        <w:t xml:space="preserve">2. Rendering, Routing and SEO</w:t>
      </w:r>
      <w:bookmarkEnd w:id="3"/>
    </w:p>
    <w:p>
      <w:pPr>
        <w:pStyle w:val="ListParagraph"/>
        <w:numPr>
          <w:ilvl w:val="0"/>
          <w:numId w:val="2"/>
        </w:numPr>
        <w:spacing w:after="60" w:line="264"/>
      </w:pPr>
      <w:r>
        <w:t xml:space="preserve">Public pages (home, category, listing, storefront, guides) are server-side rendered for speed on 4G and for search engines; dashboards may render in the browser.</w:t>
      </w:r>
    </w:p>
    <w:p>
      <w:pPr>
        <w:pStyle w:val="ListParagraph"/>
        <w:numPr>
          <w:ilvl w:val="0"/>
          <w:numId w:val="2"/>
        </w:numPr>
        <w:spacing w:after="60" w:line="264"/>
      </w:pPr>
      <w:r>
        <w:t xml:space="preserve">Routes follow the address patterns; listing pages resolve by listing number and redirect (301) to the current title slug.</w:t>
      </w:r>
    </w:p>
    <w:p>
      <w:pPr>
        <w:pStyle w:val="ListParagraph"/>
        <w:numPr>
          <w:ilvl w:val="0"/>
          <w:numId w:val="2"/>
        </w:numPr>
        <w:spacing w:after="60" w:line="264"/>
      </w:pPr>
      <w:r>
        <w:t xml:space="preserve">Every public page sets title, description, canonical link, share-preview tags (WhatsApp, Facebook, LinkedIn) and structured product data; Opportunity, private and test pages add “noindex”.</w:t>
      </w:r>
    </w:p>
    <w:p>
      <w:pPr>
        <w:pStyle w:val="ListParagraph"/>
        <w:numPr>
          <w:ilvl w:val="0"/>
          <w:numId w:val="2"/>
        </w:numPr>
        <w:spacing w:after="60" w:line="264"/>
      </w:pPr>
      <w:r>
        <w:t xml:space="preserve">Performance budget: main pages usable ≤ 2.5 s on 4G; images lazy-loaded with responsive sizes; video loads only when played; JavaScript split per page.</w:t>
      </w:r>
    </w:p>
    <w:p>
      <w:pPr>
        <w:pStyle w:val="Heading1"/>
        <w:spacing w:after="200" w:before="360"/>
      </w:pPr>
      <w:bookmarkStart w:name="h4" w:id="4"/>
      <w:r>
        <w:t xml:space="preserve">3. Languages, Right-to-Left and Formatting</w:t>
      </w:r>
      <w:bookmarkEnd w:id="4"/>
    </w:p>
    <w:p>
      <w:pPr>
        <w:pStyle w:val="ListParagraph"/>
        <w:numPr>
          <w:ilvl w:val="0"/>
          <w:numId w:val="2"/>
        </w:numPr>
        <w:spacing w:after="60" w:line="264"/>
      </w:pPr>
      <w:r>
        <w:t xml:space="preserve">All visible text uses translation keys; no hard-coded strings. Missing keys fall back to English and are reported in development. Key names follow the Cross-Module Standards (Section 8); the key of every screen field is in the Screen–Field Map.</w:t>
      </w:r>
    </w:p>
    <w:p>
      <w:pPr>
        <w:pStyle w:val="ListParagraph"/>
        <w:numPr>
          <w:ilvl w:val="0"/>
          <w:numId w:val="2"/>
        </w:numPr>
        <w:spacing w:after="60" w:line="264"/>
      </w:pPr>
      <w:r>
        <w:t xml:space="preserve">Layout uses logical CSS properties (start / end, not left / right) so switching to Arabic mirrors the layout; icons that show direction are mirrored.</w:t>
      </w:r>
    </w:p>
    <w:p>
      <w:pPr>
        <w:pStyle w:val="ListParagraph"/>
        <w:numPr>
          <w:ilvl w:val="0"/>
          <w:numId w:val="2"/>
        </w:numPr>
        <w:spacing w:after="60" w:line="264"/>
      </w:pPr>
      <w:r>
        <w:t xml:space="preserve">Shared helpers (same rules as the backend LocaleService): `formatNumber`, `formatMoney` (₹ / $, Indian or international grouping), `formatAmountWords` (lakh / crore or K / M), `formatDate` (24 Sep 2026), `formatTime` (user time zone).</w:t>
      </w:r>
    </w:p>
    <w:p>
      <w:pPr>
        <w:pStyle w:val="ListParagraph"/>
        <w:numPr>
          <w:ilvl w:val="0"/>
          <w:numId w:val="2"/>
        </w:numPr>
        <w:spacing w:after="60" w:line="264"/>
      </w:pPr>
      <w:r>
        <w:t xml:space="preserve">Number style comes from the user’s preference (Indian for India-based accounts by default); visitors get it from their browser country, changeable in the footer.</w:t>
      </w:r>
    </w:p>
    <w:p>
      <w:pPr>
        <w:pStyle w:val="ListParagraph"/>
        <w:numPr>
          <w:ilvl w:val="0"/>
          <w:numId w:val="2"/>
        </w:numPr>
        <w:spacing w:after="60" w:line="264"/>
      </w:pPr>
      <w:r>
        <w:rPr>
          <w:b/>
          <w:bCs/>
        </w:rPr>
        <w:t xml:space="preserve">Guide currency:</w:t>
      </w:r>
      <w:r>
        <w:t xml:space="preserve"> Account → Preferences (M01-S09) offers a guide-currency picker (currencies from the Country table, plus “Don’t show”), saved with `PUT /v1/me/preferences`. Visitors change it in the footer; the choice is kept with language and number style in the essential first-party setting `ot_prefs` (no identifier, no tracking — M01-3 Section 4) and copied to the account at sign-up or sign-in. PriceDisplay re-renders the guide line at once.</w:t>
      </w:r>
    </w:p>
    <w:p>
      <w:pPr>
        <w:pStyle w:val="ListParagraph"/>
        <w:numPr>
          <w:ilvl w:val="0"/>
          <w:numId w:val="2"/>
        </w:numPr>
        <w:spacing w:after="60" w:line="264"/>
      </w:pPr>
      <w:r>
        <w:t xml:space="preserve">Web fonts cover Latin, Arabic, Devanagari, Bengali-Assamese and Chinese / Japanese scripts; script fonts load only for the language in use.</w:t>
      </w:r>
    </w:p>
    <w:p>
      <w:pPr>
        <w:pStyle w:val="ListParagraph"/>
        <w:numPr>
          <w:ilvl w:val="0"/>
          <w:numId w:val="2"/>
        </w:numPr>
        <w:spacing w:after="60" w:line="264"/>
      </w:pPr>
      <w:r>
        <w:t xml:space="preserve">PhoneInput (M01-S10): country picker (flag and code) defaulting to the viewer’s country, formats as the user types, stores +country-code format. AddressForm (M01-S11): fields and order from the country’s address layout (state and district lists for India); names accept any script.</w:t>
      </w:r>
    </w:p>
    <w:p>
      <w:pPr>
        <w:pStyle w:val="Heading1"/>
        <w:spacing w:after="200" w:before="360"/>
      </w:pPr>
      <w:bookmarkStart w:name="h5" w:id="5"/>
      <w:r>
        <w:t xml:space="preserve">4. Upload Components</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Component</w:t>
            </w:r>
          </w:p>
        </w:tc>
        <w:tc>
          <w:tcPr>
            <w:tcW w:type="dxa" w:w="751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Behaviour</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PhotoUploader</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Drag-and-drop or camera / gallery on mobile; multiple select; client-side type and size check (JPG, PNG, WEBP, HEIC; size and count limits read from the settings, e.g. 15 MB and 10 photos); client-side downscale before upload where supported; progress bar per photo; reorder by drag and by Move left / Move right / Make cover buttons; first photo marked “Cover”; count shown “3 of {n}”; watermark switch whose value is remembered for the account (user_preferences.watermark_default); quality warning badge; “Held for review” state when a photo contains contact details or a QR code; one-line notice that location is never shown publicly; retry on failure.</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DocumentUploader</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PDF, JPG, PNG, HEIC / HEIF, WEBP ≤ 10 MB; the form that uses it gives each slot a side (front, back, selfie, page) that is sent with POST /v1/files; shows file name and status (scanning → ready); never shows a public preview; “View” (owner only) opens the file through a signed link; shows the error states for FILE_TYPE_NOT_ALLOWED, FILE_TOO_LARGE and FILE_INFECTED (M01-3 Section 4.3).</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VideoUploader</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MP4 / MOV ≤ 100 MB (business-location video ≤ 45 s and 45 MB); shown only as “Not verified” with a link to verification when the account is not verified (NOT_VERIFIED); reads duration in the browser and blocks &gt; 60 s before upload; shows remaining video allowance (“1 of 2 used”, from GET /v1/me/allowances); resumable upload with progress; status chip: Processing · In review · Live · Rejected (with reason); player muted by default with sound button.</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Common</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Upload goes straight to storage using the pre-signed POST link (storage refuses files above the purpose’s size limit); the component polls or listens for status; all messages translated; keyboard and screen-reader accessible.</w:t>
            </w:r>
          </w:p>
        </w:tc>
      </w:tr>
    </w:tbl>
    <w:p>
      <w:pPr>
        <w:spacing w:after="120"/>
      </w:pPr>
    </w:p>
    <w:p>
      <w:pPr>
        <w:pStyle w:val="Heading2"/>
      </w:pPr>
      <w:bookmarkStart w:name="h6" w:id="6"/>
      <w:r>
        <w:t xml:space="preserve">4.1 Farmer simple mode for uploads</w:t>
      </w:r>
      <w:bookmarkEnd w:id="6"/>
    </w:p>
    <w:p>
      <w:pPr>
        <w:spacing w:after="120" w:line="276"/>
      </w:pPr>
      <w:r>
        <w:t xml:space="preserve">Farmer accounts, and field agents working for a farmer, get the simple version of the upload components (UX/UI Foundation, Section 8.7; M01-6 Section 3.1).</w:t>
      </w:r>
    </w:p>
    <w:p>
      <w:pPr>
        <w:pStyle w:val="ListParagraph"/>
        <w:numPr>
          <w:ilvl w:val="0"/>
          <w:numId w:val="2"/>
        </w:numPr>
        <w:spacing w:after="60" w:line="264"/>
      </w:pPr>
      <w:r>
        <w:t xml:space="preserve">Touch targets at least 48 × 48 px; larger text and one big primary button per step.</w:t>
      </w:r>
    </w:p>
    <w:p>
      <w:pPr>
        <w:pStyle w:val="ListParagraph"/>
        <w:numPr>
          <w:ilvl w:val="0"/>
          <w:numId w:val="2"/>
        </w:numPr>
        <w:spacing w:after="60" w:line="264"/>
      </w:pPr>
      <w:r>
        <w:t xml:space="preserve">Fewer steps: “Take photo” opens the camera directly; no drag-to-reorder (the first photo is the cover; “Make cover” button instead); watermark and other options hidden with safe defaults.</w:t>
      </w:r>
    </w:p>
    <w:p>
      <w:pPr>
        <w:pStyle w:val="ListParagraph"/>
        <w:numPr>
          <w:ilvl w:val="0"/>
          <w:numId w:val="2"/>
        </w:numPr>
        <w:spacing w:after="60" w:line="264"/>
      </w:pPr>
      <w:r>
        <w:t xml:space="preserve">Built for slow 3G: photos are downscaled on the phone before upload (long side 1,600 px); each file uploads separately with a large progress bar; after a network drop the upload resumes by itself (multipart upload for video, automatic retry for photos) and the queue is kept in the browser so it continues after the page is reopened.</w:t>
      </w:r>
    </w:p>
    <w:p>
      <w:pPr>
        <w:pStyle w:val="ListParagraph"/>
        <w:numPr>
          <w:ilvl w:val="0"/>
          <w:numId w:val="2"/>
        </w:numPr>
        <w:spacing w:after="60" w:line="264"/>
      </w:pPr>
      <w:r>
        <w:t xml:space="preserve">Clear states with icons and short words: “Sending…”, “Waiting for network — we’ll continue”, “Sent”, “Try again”.</w:t>
      </w:r>
    </w:p>
    <w:p>
      <w:pPr>
        <w:pStyle w:val="Heading1"/>
        <w:spacing w:after="200" w:before="360"/>
      </w:pPr>
      <w:bookmarkStart w:name="h7" w:id="7"/>
      <w:r>
        <w:t xml:space="preserve">5. Price and Unit Display</w:t>
      </w:r>
      <w:bookmarkEnd w:id="7"/>
    </w:p>
    <w:p>
      <w:pPr>
        <w:pStyle w:val="ListParagraph"/>
        <w:numPr>
          <w:ilvl w:val="0"/>
          <w:numId w:val="2"/>
        </w:numPr>
        <w:spacing w:after="60" w:line="264"/>
      </w:pPr>
      <w:r>
        <w:t xml:space="preserve">Unit picker lists only the metric and count units allowed for the item (from the API); bigha, katha and lessa show a required state selector (only states with a factor, UNT-009).</w:t>
      </w:r>
    </w:p>
    <w:p>
      <w:pPr>
        <w:pStyle w:val="ListParagraph"/>
        <w:numPr>
          <w:ilvl w:val="0"/>
          <w:numId w:val="2"/>
        </w:numPr>
        <w:spacing w:after="60" w:line="264"/>
      </w:pPr>
      <w:r>
        <w:t xml:space="preserve">Price helper in the listing form: “Know your price per tola? Type it here” — fills the metric price field; only the metric price is saved.</w:t>
      </w:r>
    </w:p>
    <w:p>
      <w:pPr>
        <w:pStyle w:val="ListParagraph"/>
        <w:numPr>
          <w:ilvl w:val="0"/>
          <w:numId w:val="2"/>
        </w:numPr>
        <w:spacing w:after="60" w:line="264"/>
      </w:pPr>
      <w:r>
        <w:t xml:space="preserve">Display: main line “₹500 per ml”; helper line in smaller grey text “≈ ₹6,000 per tola”; guide line “≈ AED 22 per ml (guide only)” for viewers outside the listing currency. Helper units follow the category and viewer country.</w:t>
      </w:r>
    </w:p>
    <w:p>
      <w:pPr>
        <w:pStyle w:val="ListParagraph"/>
        <w:numPr>
          <w:ilvl w:val="0"/>
          <w:numId w:val="2"/>
        </w:numPr>
        <w:spacing w:after="60" w:line="264"/>
      </w:pPr>
      <w:r>
        <w:t xml:space="preserve">Area: “2 bigha (Assam) · ≈ 0.66 acre”. Count units show no conversion.</w:t>
      </w:r>
    </w:p>
    <w:p>
      <w:pPr>
        <w:pStyle w:val="ListParagraph"/>
        <w:numPr>
          <w:ilvl w:val="0"/>
          <w:numId w:val="2"/>
        </w:numPr>
        <w:spacing w:after="60" w:line="264"/>
      </w:pPr>
      <w:r>
        <w:t xml:space="preserve">Sort and filter by price per standard unit only within the same currency.</w:t>
      </w:r>
    </w:p>
    <w:p>
      <w:pPr>
        <w:pStyle w:val="Heading1"/>
        <w:spacing w:after="200" w:before="360"/>
      </w:pPr>
      <w:bookmarkStart w:name="h8" w:id="8"/>
      <w:r>
        <w:t xml:space="preserve">6. Cookie Banner</w:t>
      </w:r>
      <w:bookmarkEnd w:id="8"/>
    </w:p>
    <w:p>
      <w:pPr>
        <w:spacing w:after="60" w:before="120"/>
        <w:jc w:val="center"/>
      </w:pPr>
      <w:r>
        <w:drawing>
          <wp:inline distT="0" distB="0" distL="0" distR="0">
            <wp:extent cx="3048000" cy="3676650"/>
            <wp:effectExtent t="0" r="0" b="0" l="0"/>
            <wp:docPr id="1" name="m01_flow_consent" descr="Cookie consent flow" title="Cookie cons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3048000" cy="3676650"/>
                    </a:xfrm>
                    <a:prstGeom prst="rect">
                      <a:avLst/>
                    </a:prstGeom>
                  </pic:spPr>
                </pic:pic>
              </a:graphicData>
            </a:graphic>
          </wp:inline>
        </w:drawing>
      </w:r>
    </w:p>
    <w:p>
      <w:pPr>
        <w:spacing w:after="200"/>
        <w:jc w:val="center"/>
      </w:pPr>
      <w:r>
        <w:rPr>
          <w:i/>
          <w:iCs/>
          <w:color w:val="6B6B6B"/>
          <w:sz w:val="18"/>
          <w:szCs w:val="18"/>
        </w:rPr>
        <w:t xml:space="preserve">Figure 1 — Cookie consent flow</w:t>
      </w:r>
    </w:p>
    <w:p>
      <w:pPr>
        <w:pStyle w:val="ListParagraph"/>
        <w:numPr>
          <w:ilvl w:val="0"/>
          <w:numId w:val="2"/>
        </w:numPr>
        <w:spacing w:after="60" w:line="264"/>
      </w:pPr>
      <w:r>
        <w:t xml:space="preserve">Shown at the bottom on first visit; three equal buttons: Accept all · Reject all · Choose. “Choose” opens toggles for Analytics and Marketing (Essential shown as always on).</w:t>
      </w:r>
    </w:p>
    <w:p>
      <w:pPr>
        <w:pStyle w:val="ListParagraph"/>
        <w:numPr>
          <w:ilvl w:val="0"/>
          <w:numId w:val="2"/>
        </w:numPr>
        <w:spacing w:after="60" w:line="264"/>
      </w:pPr>
      <w:r>
        <w:t xml:space="preserve">No analytics or marketing script is loaded before consent; a tag manager is configured to respect the stored choice.</w:t>
      </w:r>
    </w:p>
    <w:p>
      <w:pPr>
        <w:pStyle w:val="ListParagraph"/>
        <w:numPr>
          <w:ilvl w:val="0"/>
          <w:numId w:val="2"/>
        </w:numPr>
        <w:spacing w:after="60" w:line="264"/>
      </w:pPr>
      <w:r>
        <w:t xml:space="preserve">Choice stored in a first-party cookie for 12 months and sent to `POST /v1/consents`; for signed-in users it is also saved to the account.</w:t>
      </w:r>
    </w:p>
    <w:p>
      <w:pPr>
        <w:pStyle w:val="ListParagraph"/>
        <w:numPr>
          <w:ilvl w:val="0"/>
          <w:numId w:val="2"/>
        </w:numPr>
        <w:spacing w:after="60" w:line="264"/>
      </w:pPr>
      <w:r>
        <w:t xml:space="preserve">Footer link “Cookie settings” reopens the choices; banner is accessible (focus trap, keyboard, screen reader labels).</w:t>
      </w:r>
    </w:p>
    <w:p>
      <w:pPr>
        <w:pStyle w:val="Heading1"/>
        <w:spacing w:after="200" w:before="360"/>
      </w:pPr>
      <w:bookmarkStart w:name="h9" w:id="9"/>
      <w:r>
        <w:t xml:space="preserve">7. Error, Empty and Status Pages</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Page</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Content</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404 Not found</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couldn’t find that page.” Search box, links to categories and help.</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500 Something went wrong</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Apology, “Try again”, request ID for support, help link.</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Maintenance</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Planned time window in the user’s time zone; link to status updates.</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Offline (apps and web)</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“You’re offline. We’ll retry when you’re connected.” (M01-6 Section 10); uploads resume automatically.</w:t>
            </w:r>
          </w:p>
        </w:tc>
      </w:tr>
    </w:tbl>
    <w:p>
      <w:pPr>
        <w:spacing w:after="120"/>
      </w:pPr>
    </w:p>
    <w:p>
      <w:pPr>
        <w:pStyle w:val="Heading1"/>
        <w:spacing w:after="200" w:before="360"/>
      </w:pPr>
      <w:bookmarkStart w:name="h10" w:id="10"/>
      <w:r>
        <w:t xml:space="preserve">8. Browser Security and Limits</w:t>
      </w:r>
      <w:bookmarkEnd w:id="10"/>
    </w:p>
    <w:p>
      <w:pPr>
        <w:pStyle w:val="ListParagraph"/>
        <w:numPr>
          <w:ilvl w:val="0"/>
          <w:numId w:val="2"/>
        </w:numPr>
        <w:spacing w:after="60" w:line="264"/>
      </w:pPr>
      <w:r>
        <w:t xml:space="preserve">No inline scripts or styles, so the strict content security policy works; third-party scripts load only after cookie consent.</w:t>
      </w:r>
    </w:p>
    <w:p>
      <w:pPr>
        <w:pStyle w:val="ListParagraph"/>
        <w:numPr>
          <w:ilvl w:val="0"/>
          <w:numId w:val="2"/>
        </w:numPr>
        <w:spacing w:after="60" w:line="264"/>
      </w:pPr>
      <w:r>
        <w:t xml:space="preserve">Seller contact details are never placed in page HTML; they are fetched only when the owning module allows it.</w:t>
      </w:r>
    </w:p>
    <w:p>
      <w:pPr>
        <w:pStyle w:val="ListParagraph"/>
        <w:numPr>
          <w:ilvl w:val="0"/>
          <w:numId w:val="2"/>
        </w:numPr>
        <w:spacing w:after="60" w:line="264"/>
      </w:pPr>
      <w:r>
        <w:t xml:space="preserve">Forms send the CSRF token; the app handles “too many requests” by showing the translated wait message and retrying after the `Retry-After` time.</w:t>
      </w:r>
    </w:p>
    <w:p>
      <w:pPr>
        <w:pStyle w:val="ListParagraph"/>
        <w:numPr>
          <w:ilvl w:val="0"/>
          <w:numId w:val="2"/>
        </w:numPr>
        <w:spacing w:after="60" w:line="264"/>
      </w:pPr>
      <w:r>
        <w:rPr>
          <w:b/>
          <w:bCs/>
        </w:rPr>
        <w:t xml:space="preserve">Idempotency key:</w:t>
      </w:r>
      <w:r>
        <w:t xml:space="preserve"> the client creates one UUID per create action (e.g. create upload slot, post listing, send enquiry, pay) and sends it as the `Idempotency-Key` header; the same key is reused when the request is retried after a time-out or network drop, so the action is never done twice (M01-3 Section 4.1). A new key is made only when the user starts a new action.</w:t>
      </w:r>
    </w:p>
    <w:p>
      <w:pPr>
        <w:pStyle w:val="ListParagraph"/>
        <w:numPr>
          <w:ilvl w:val="0"/>
          <w:numId w:val="2"/>
        </w:numPr>
        <w:spacing w:after="60" w:line="264"/>
      </w:pPr>
      <w:r>
        <w:t xml:space="preserve">On HTTP 503 MAINTENANCE the app shows the maintenance page; on 503 READ_ONLY_MODE it shows the read-only message and keeps what the user typed, so nothing is lost (M01-2 API-009).</w:t>
      </w:r>
    </w:p>
    <w:p>
      <w:pPr>
        <w:pStyle w:val="ListParagraph"/>
        <w:numPr>
          <w:ilvl w:val="0"/>
          <w:numId w:val="2"/>
        </w:numPr>
        <w:spacing w:after="60" w:line="264"/>
      </w:pPr>
      <w:r>
        <w:t xml:space="preserve">Error pages and the maintenance page link to status.oudhtrade.com.</w:t>
      </w:r>
    </w:p>
    <w:p>
      <w:pPr>
        <w:pStyle w:val="Heading1"/>
        <w:spacing w:after="200" w:before="360"/>
      </w:pPr>
      <w:bookmarkStart w:name="h11" w:id="11"/>
      <w:r>
        <w:t xml:space="preserve">9. Accessibility and Browser Support</w:t>
      </w:r>
      <w:bookmarkEnd w:id="11"/>
    </w:p>
    <w:p>
      <w:pPr>
        <w:pStyle w:val="ListParagraph"/>
        <w:numPr>
          <w:ilvl w:val="0"/>
          <w:numId w:val="2"/>
        </w:numPr>
        <w:spacing w:after="60" w:line="264"/>
      </w:pPr>
      <w:r>
        <w:t xml:space="preserve">WCAG 2.2 AA, following the UX/UI Foundation checklist (Section 11): colour contrast, focus states never hidden behind sticky bars or banners, keyboard use, button alternatives to dragging, labels for inputs, alt text for images (seller-provided or generated from title).</w:t>
      </w:r>
    </w:p>
    <w:p>
      <w:pPr>
        <w:pStyle w:val="ListParagraph"/>
        <w:numPr>
          <w:ilvl w:val="0"/>
          <w:numId w:val="2"/>
        </w:numPr>
        <w:spacing w:after="60" w:line="264"/>
      </w:pPr>
      <w:r>
        <w:t xml:space="preserve">Supported: latest two versions of Chrome, Safari, Edge, Firefox; Android 10+ and iOS 15+ browsers; responsive from 360 px wide.</w:t>
      </w:r>
    </w:p>
    <w:p>
      <w:pPr>
        <w:pStyle w:val="ListParagraph"/>
        <w:numPr>
          <w:ilvl w:val="0"/>
          <w:numId w:val="2"/>
        </w:numPr>
        <w:spacing w:after="60" w:line="264"/>
      </w:pPr>
      <w:r>
        <w:t xml:space="preserve">On touch screens, targets are at least 44 × 44 px (48 × 48 px in farmer simple mode). The 44 px rule applies to touch screens only: the desktop Admin app uses compact table rows about 40 px high.</w:t>
      </w:r>
    </w:p>
    <w:p>
      <w:pPr>
        <w:pStyle w:val="ListParagraph"/>
        <w:numPr>
          <w:ilvl w:val="0"/>
          <w:numId w:val="2"/>
        </w:numPr>
        <w:spacing w:after="60" w:line="264"/>
      </w:pPr>
      <w:r>
        <w:t xml:space="preserve">Mobile apps (R3) reuse the same API, translation keys, formatting rules and upload rules.</w:t>
      </w:r>
    </w:p>
    <w:p>
      <w:pPr>
        <w:pStyle w:val="Heading2"/>
      </w:pPr>
      <w:bookmarkStart w:name="h12" w:id="12"/>
      <w:r>
        <w:t xml:space="preserve">9.1 Field-agent screens: installable web app with offline storage</w:t>
      </w:r>
      <w:bookmarkEnd w:id="12"/>
    </w:p>
    <w:p>
      <w:pPr>
        <w:spacing w:after="120" w:line="276"/>
      </w:pPr>
      <w:r>
        <w:t xml:space="preserve">Field agents often work in villages with no signal. Their screens are an installable web app on the managed agent phone. Module 1 provides the shared parts; M02 (queued farmer sign-up) and M03 (farmer profiles, farm-visit photos and reports) build their offline forms on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51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Install</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Web app manifest and a service worker, so the agent can add the screens to the home screen and open them without signal. The agent signs in (staff realm) while online first.</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Service worker</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Caches only the app shell, scripts, styles, icons and translations for offline use. It never caches API responses that hold personal data. New versions install in the background and apply at the next start.</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Encrypted local queue</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Offline form entries are kept in the browser storage (IndexedDB) as a queue, encrypted with a key the web server gives only to that agent’s signed-in session. No password or one-time code is ever stored. The queue is wiped after 7 days (configurable), on sign-out, when another agent signs in on the device, or once sent.</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Sending</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When there is signal, queued items are sent with their idempotency key (M01-3 Section 4.1), so a retry never creates a record twice; photos use the normal upload with resume. The screen shows “Waiting for signal” and the wipe date for each queued item.</w:t>
            </w:r>
          </w:p>
        </w:tc>
      </w:tr>
    </w:tbl>
    <w:p>
      <w:pPr>
        <w:spacing w:after="120"/>
      </w:pPr>
    </w:p>
    <w:p>
      <w:pPr>
        <w:pStyle w:val="Heading1"/>
        <w:spacing w:after="200" w:before="360"/>
      </w:pPr>
      <w:bookmarkStart w:name="h13" w:id="13"/>
      <w:r>
        <w:t xml:space="preserve">10. Staff and Settings Screens</w:t>
      </w:r>
      <w:bookmarkEnd w:id="13"/>
    </w:p>
    <w:p>
      <w:pPr>
        <w:spacing w:after="120" w:line="276"/>
      </w:pPr>
      <w:r>
        <w:t xml:space="preserve">The screens are specified in M01-6 Section 12. They live in the Admin app (HLD: separate deployment, staff sign-in realm), in the one console shell shared by the Operations Console (M15) and the Configuration Console (M16) (Cross-Module Standards, Section 4): settings screens under /admin/settings/… (Settings menu group), staff screens under /admin/…. The shell gives navigation, staff sign-in and role checks; screen codes follow Cross-Module Standards, Section 3; Module 1 builds the pages below and the shared settings-pattern parts. When they are built is decided by the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506"/>
        <w:gridCol w:w="3470"/>
        <w:gridCol w:w="2602"/>
      </w:tblGrid>
      <w:tr>
        <w:trPr>
          <w:tblHeader/>
        </w:trPr>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Code</w:t>
            </w:r>
          </w:p>
        </w:tc>
        <w:tc>
          <w:tcPr>
            <w:tcW w:type="dxa" w:w="2506"/>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Route</w:t>
            </w:r>
          </w:p>
        </w:tc>
        <w:tc>
          <w:tcPr>
            <w:tcW w:type="dxa" w:w="347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Screen (M01-6)</w:t>
            </w:r>
          </w:p>
        </w:tc>
        <w:tc>
          <w:tcPr>
            <w:tcW w:type="dxa" w:w="2602"/>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Roles that can open it</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M16-AD-01</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/admin/settings/changes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Changes / approvals: waiting for my approval, my drafts, scheduled, recent (rule in 12.1). Screen owned by the Configuration Console (M16-AD-01); listed here until Module 16 is written.</w:t>
            </w:r>
          </w:p>
        </w:tc>
        <w:tc>
          <w:tcPr>
            <w:tcW w:type="dxa" w:w="260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Super Admin, Admin; Finance (My drafts tab only)</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M01-AD-01</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/admin/settings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Settings editor (12.2)</w:t>
            </w:r>
          </w:p>
        </w:tc>
        <w:tc>
          <w:tcPr>
            <w:tcW w:type="dxa" w:w="260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 staff roles except field agents; edit: Super Admin, Admin</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M01-AD-02</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/admin/settings/switches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Feature switches and overrides (12.3)</w:t>
            </w:r>
          </w:p>
        </w:tc>
        <w:tc>
          <w:tcPr>
            <w:tcW w:type="dxa" w:w="260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 staff roles except field agents; edit: Super Admin, Admin</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M01-AD-03</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/admin/settings/countries · /admin/settings/countries/{code}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Country table and country detail (12.4)</w:t>
            </w:r>
          </w:p>
        </w:tc>
        <w:tc>
          <w:tcPr>
            <w:tcW w:type="dxa" w:w="260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 staff roles except field agents; edit: Super Admin, Admin</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M01-AD-04</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/admin/settings/reserved-names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Reserved names (12.5)</w:t>
            </w:r>
          </w:p>
        </w:tc>
        <w:tc>
          <w:tcPr>
            <w:tcW w:type="dxa" w:w="260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Super Admin, Admin, Moderator (view)</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M01-AD-05</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/admin/settings/holidays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Holiday calendar (12.6)</w:t>
            </w:r>
          </w:p>
        </w:tc>
        <w:tc>
          <w:tcPr>
            <w:tcW w:type="dxa" w:w="260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All staff roles except field agents; edit: Super Admin, Admin</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M01-AD-06</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/admin/settings/rate-limits</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Rate limits (12.7)</w:t>
            </w:r>
          </w:p>
        </w:tc>
        <w:tc>
          <w:tcPr>
            <w:tcW w:type="dxa" w:w="260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Super Admin, Admin</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M01-AD-07</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/admin/settings/ai-usage</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AI usage and budgets (12.8)</w:t>
            </w:r>
          </w:p>
        </w:tc>
        <w:tc>
          <w:tcPr>
            <w:tcW w:type="dxa" w:w="260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Super Admin, Admin, Finance (view and draft)</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M01-AD-08</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/admin/audit · /admin/audit/{id}</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Audit log viewer and record detail (12.9)</w:t>
            </w:r>
          </w:p>
        </w:tc>
        <w:tc>
          <w:tcPr>
            <w:tcW w:type="dxa" w:w="260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Super Admin, Admin, Moderator, Finance, Support — scope from AUD-005 (field agents see their own actions in My actions in the agent app, M02-S20, through GET /v1/audit?actor=me)</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M01-AD-09</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/admin/legal-holds · /admin/legal-holds/{id}</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Legal hold: list, detail, place and release (12.10)</w:t>
            </w:r>
          </w:p>
        </w:tc>
        <w:tc>
          <w:tcPr>
            <w:tcW w:type="dxa" w:w="260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Super Admin, Admin; Moderator (view, items under review)</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M01-AD-10</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/admin/jobs/failed</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Failed jobs: retrying and dead-letter tabs (12.11)</w:t>
            </w:r>
          </w:p>
        </w:tc>
        <w:tc>
          <w:tcPr>
            <w:tcW w:type="dxa" w:w="260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Super Admin, Admin</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M01-AD-11</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/admin/settings/retention</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Retention policies (12.12)</w:t>
            </w:r>
          </w:p>
        </w:tc>
        <w:tc>
          <w:tcPr>
            <w:tcW w:type="dxa" w:w="260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Super Admin, Admin; Moderator, Finance (view)</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M01-AD-12</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/admin/settings/units · /admin/settings/units/land</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Units and conversion factors; state land units (12.13)</w:t>
            </w:r>
          </w:p>
        </w:tc>
        <w:tc>
          <w:tcPr>
            <w:tcW w:type="dxa" w:w="260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 staff roles except field agents; edit: Super Admin, Admin</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M01-AD-13</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 route of its own (panel)</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Photo location view (12.14), opened from the Module 3 review screens (e.g. M03-AD-01, M03-AD-03) and the M06 origin-check screens</w:t>
            </w:r>
          </w:p>
        </w:tc>
        <w:tc>
          <w:tcPr>
            <w:tcW w:type="dxa" w:w="260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Staff with the permission photo_location.view (Moderator, Senior Moderator)</w:t>
            </w:r>
          </w:p>
        </w:tc>
      </w:tr>
      <w:tr>
        <w:trPr>
          <w:cantSplit/>
        </w:trPr>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M01-AD-14</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/admin/settings/simple-lists · /admin/settings/simple-lists/{groupKey}</w:t>
            </w:r>
          </w:p>
        </w:tc>
        <w:tc>
          <w:tcPr>
            <w:tcW w:type="dxa" w:w="347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Simple lists: groups, then the items of one group (12.15)</w:t>
            </w:r>
          </w:p>
        </w:tc>
        <w:tc>
          <w:tcPr>
            <w:tcW w:type="dxa" w:w="260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 staff roles except field agents; edit: Super Admin, Admin</w:t>
            </w:r>
          </w:p>
        </w:tc>
      </w:tr>
      <w:tr>
        <w:trPr>
          <w:cantSplit/>
        </w:trPr>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M01-AD-15</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/admin/blocks</w:t>
            </w:r>
          </w:p>
        </w:tc>
        <w:tc>
          <w:tcPr>
            <w:tcW w:type="dxa" w:w="347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Blocks: current rate-limit blocks; block a key, lift a block (12.16)</w:t>
            </w:r>
          </w:p>
        </w:tc>
        <w:tc>
          <w:tcPr>
            <w:tcW w:type="dxa" w:w="260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Super Admin, Admin</w:t>
            </w:r>
          </w:p>
        </w:tc>
      </w:tr>
    </w:tbl>
    <w:p>
      <w:pPr>
        <w:spacing w:after="120"/>
      </w:pPr>
    </w:p>
    <w:p>
      <w:pPr>
        <w:spacing w:after="120" w:line="276"/>
      </w:pPr>
      <w:r>
        <w:t xml:space="preserve">The router checks the role on the server before the page is sent; a role without access gets the “Not allowed” state (M01-6 Section 12.1), never an empty page. Every item screen also has a History tab (`?tab=history`) and opens a draft at `…/draft/{versionId}`.</w:t>
      </w:r>
    </w:p>
    <w:p>
      <w:pPr>
        <w:pStyle w:val="Heading2"/>
      </w:pPr>
      <w:bookmarkStart w:name="h14" w:id="14"/>
      <w:r>
        <w:t xml:space="preserve">10.1 Shared settings-pattern components</w:t>
      </w:r>
      <w:bookmarkEnd w:id="14"/>
    </w:p>
    <w:p>
      <w:pPr>
        <w:spacing w:after="120" w:line="276"/>
      </w:pPr>
      <w:r>
        <w:t xml:space="preserve">Every module’s settings screens (e.g. the M03 editors) are built from these parts, so they all behave as in M01-6 Section 12.1.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Component</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Behaviour</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SettingsTable</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 with search, filters, cursor paging, current value, “Waiting for approval” / “Scheduled” chips and “High impact” tag.</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DraftEditor</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Form built from the setting’s type and allowed range (settings register); checks each field as the user types; creates the draft (POST /v1/admin/config/versions), saves it with its row_version (PATCH …/versions/{id} or the screen endpoint with draftId) and discards it (DELETE …/versions/{id}) (M01-3 Section 4.2).</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OverridePanel</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Adds and removes overrides by account list, role, plan, category or country; lists them most specific first (CFG-005).</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ImpactPreview</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Calls POST …/versions/{id}/preview (M01-3 Section 4.2) and shows what changes, who is affected and the example (CFG-008); a figure without a data source yet shows “shown when data is available”; refreshes for the approver.</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ApprovalBar</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Send for approval with a required reason; Approve / Reject with reason. Hides Approve from the editor of any draft, and from an Admin who is not a Super Admin on a high-impact draft (two-level rule, M01-6 Section 12.1). Calls …/submit, …/approve and …/reject; the server checks the same rule (403 APPROVER_NOT_ALLOWED).</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PublishScheduler</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Publish now (…/publish) or at a date and time (…/schedule; shown in IST and the user’s zone); cancel a scheduled change with a reason (DELETE …/schedule) (CFG-009).</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VersionHistory &amp; CompareView</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Versions with status, people, time and reason (GET …/versions); side-by-side old and new values; Roll back button that opens a new draft (…/rollback).</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EmergencyOffButton</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 production switches and the under-attack switch, only for settings.emergency_off: required reason, confirm, then POST /v1/admin/config/emergency; the switch shows “Emergency change — review due by {time}” until a second Super Admin reviews it (CFG-010).</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MaintenancePanel</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 Feature switches: the maintenance state for everyone; buttons only for Super Admins (platform.maintenance): Start maintenance now (full or read-only, expected back, required reason → POST /v1/admin/maintenance/start), Plan maintenance (a normal draft with a schedule, approved by a second Super Admin) and End maintenance (required note → POST /v1/admin/maintenance/end) (CFG-012).</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ConflictBanner</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Shown on a 409 conflict: “Changed by someone else — please reload”, with the user’s unsaved values kept beside the new ones (CFG-007).</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ImportExportDialog</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Export a published version (staging); import a file as a draft (production), then the normal approval (POST /v1/admin/config/export and …/import; ENV-008).</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AuditSearch &amp; AuditRecordView</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Role-scoped search form and results with cursor paging; record detail with before / after and chain-check result; Export (Super Admin only) with a required reason (AUD-005 to AUD-008).</w:t>
            </w:r>
          </w:p>
        </w:tc>
      </w:tr>
    </w:tbl>
    <w:p>
      <w:pPr>
        <w:spacing w:after="120"/>
      </w:pPr>
    </w:p>
    <w:p>
      <w:pPr>
        <w:pStyle w:val="Heading2"/>
      </w:pPr>
      <w:bookmarkStart w:name="h15" w:id="15"/>
      <w:r>
        <w:t xml:space="preserve">10.2 Staff screen components</w:t>
      </w:r>
      <w:bookmarkEnd w:id="15"/>
    </w:p>
    <w:p>
      <w:pPr>
        <w:spacing w:after="120" w:line="276"/>
      </w:pPr>
      <w:r>
        <w:t xml:space="preserve">Parts for the Module 1 staff screens in the Operations Console layout and for the photo location panel used by M03 and M06.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Component</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Behaviour</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LegalHoldList &amp; LegalHoldForm</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 and released tabs with filters; place-hold form (scope, ID, reason, reference) with a coverage preview; release dialog showing what the next retention run would delete, with a required reason (RET-004).</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FailedJobsTable</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Retrying and dead-letter tabs; per-kind counts; Retry, Retry all of this kind (up to 100, reason required) and Discard (reason required) (EVT-005).</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BlocksTable</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Current blocks with filters (key type, kind, module) and search by key; Block a key and Lift, each with a required reason; View account link for account keys (RTL-005).</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FxRatesTab</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Exchange rates tab of the Country table: each guide currency with rate, date, source and a state chip, read only (GET /v1/admin/fx-rates; CTY-005).</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RetentionPolicyTable</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Built from SettingsTable and DraftEditor; shows legal minimum and hold counts; refuses a period below the legal minimum before sending (RET-005).</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UnitTable &amp; LandUnitTable</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Built from SettingsTable and DraftEditor; shows usage counts; state land units in sq ft and m² with a required source field (UNT-009).</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SimpleListTable</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Built from SettingsTable and DraftEditor: group list, then the items of one group with usage counts; move up / down buttons for order (keyboard-operable; drag only as an extra on a mouse); parent picker shown only when the group allows parents, with child items indented; the key field is read-only once the item is published; retire with a required reason (CFG-011).</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PhotoLocationPanel</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Button </w:t>
            </w:r>
            <w:r>
              <w:rPr>
                <w:sz w:val="19"/>
                <w:szCs w:val="19"/>
              </w:rPr>
              <w:t xml:space="preserve">Show photo location</w:t>
            </w:r>
            <w:r>
              <w:rPr>
                <w:sz w:val="19"/>
                <w:szCs w:val="19"/>
              </w:rPr>
              <w:t xml:space="preserve"> → reason dialog (reason list and required note) → coordinates and the distance to the declared place, both from the server (no map). No copy, download or export action. Rendered only for staff with the permission photo_location.view; the server checks again and records each view (FIL-027).</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M01-4 Frontend Technical Design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8bf5bdd8cb1c0ec8f8d498ea3c1ac39cd6509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M01-4 Frontend Technical Design</dc:title>
  <dc:creator>MRIDA INFRA AND PLANTATIONS LLP</dc:creator>
  <cp:lastModifiedBy>Un-named</cp:lastModifiedBy>
  <cp:revision>1</cp:revision>
  <dcterms:created xsi:type="dcterms:W3CDTF">2026-09-29T03:13:12.250Z</dcterms:created>
  <dcterms:modified xsi:type="dcterms:W3CDTF">2026-09-29T03:13:12.251Z</dcterms:modified>
</cp:coreProperties>
</file>

<file path=docProps/custom.xml><?xml version="1.0" encoding="utf-8"?>
<Properties xmlns="http://schemas.openxmlformats.org/officeDocument/2006/custom-properties" xmlns:vt="http://schemas.openxmlformats.org/officeDocument/2006/docPropsVTypes"/>
</file>