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UX-UI Specification</w:t>
      </w:r>
    </w:p>
    <w:p>
      <w:pPr>
        <w:spacing w:after="1400" w:before="200"/>
      </w:pPr>
      <w:r>
        <w:rPr>
          <w:i/>
          <w:iCs/>
          <w:color w:val="6B6B6B"/>
          <w:sz w:val="24"/>
          <w:szCs w:val="24"/>
        </w:rPr>
        <w:t xml:space="preserve">Module 1 — Platform Foundation · M01-6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M01-6 UX-UI Specification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Module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 Platform Foundation (release R1)</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UX/UI designers, frontend developers, product owner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(PRD-FND, PRD-CMP) · HLD · other M01 documents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UX lead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24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Purpose</w:t>
        </w:r>
      </w:hyperlink>
      <w:r>
        <w:rPr>
          <w:b/>
          <w:bCs/>
          <w:sz w:val="21"/>
          <w:szCs w:val="21"/>
        </w:rPr>
        <w:tab/>
        <w:t xml:space="preserve">2</w:t>
      </w:r>
    </w:p>
    <w:p>
      <w:pPr>
        <w:tabs>
          <w:tab w:val="right" w:pos="9638" w:leader="dot"/>
        </w:tabs>
        <w:spacing w:after="30" w:before="100"/>
        <w:ind w:left="0"/>
      </w:pPr>
      <w:hyperlink w:history="1" w:anchor="h2">
        <w:r>
          <w:rPr>
            <w:b/>
            <w:bCs/>
            <w:color w:val="5B3A1E"/>
            <w:sz w:val="21"/>
            <w:szCs w:val="21"/>
          </w:rPr>
          <w:t xml:space="preserve">2. Design Principles</w:t>
        </w:r>
      </w:hyperlink>
      <w:r>
        <w:rPr>
          <w:b/>
          <w:bCs/>
          <w:sz w:val="21"/>
          <w:szCs w:val="21"/>
        </w:rPr>
        <w:tab/>
        <w:t xml:space="preserve">2</w:t>
      </w:r>
    </w:p>
    <w:p>
      <w:pPr>
        <w:tabs>
          <w:tab w:val="right" w:pos="9638" w:leader="dot"/>
        </w:tabs>
        <w:spacing w:after="30" w:before="100"/>
        <w:ind w:left="0"/>
      </w:pPr>
      <w:hyperlink w:history="1" w:anchor="h3">
        <w:r>
          <w:rPr>
            <w:b/>
            <w:bCs/>
            <w:color w:val="5B3A1E"/>
            <w:sz w:val="21"/>
            <w:szCs w:val="21"/>
          </w:rPr>
          <w:t xml:space="preserve">3. Photo Uploader (M01-S01)</w:t>
        </w:r>
      </w:hyperlink>
      <w:r>
        <w:rPr>
          <w:b/>
          <w:bCs/>
          <w:sz w:val="21"/>
          <w:szCs w:val="21"/>
        </w:rPr>
        <w:tab/>
        <w:t xml:space="preserve">3</w:t>
      </w:r>
    </w:p>
    <w:p>
      <w:pPr>
        <w:tabs>
          <w:tab w:val="right" w:pos="9638" w:leader="dot"/>
        </w:tabs>
        <w:spacing w:after="30" w:before="0"/>
        <w:ind w:left="360"/>
      </w:pPr>
      <w:hyperlink w:history="1" w:anchor="h4">
        <w:r>
          <w:rPr>
            <w:b w:val="false"/>
            <w:bCs w:val="false"/>
            <w:color w:val="262626"/>
            <w:sz w:val="19"/>
            <w:szCs w:val="19"/>
          </w:rPr>
          <w:t xml:space="preserve">3.1 Farmer simple mode: photo and video upload</w:t>
        </w:r>
      </w:hyperlink>
      <w:r>
        <w:rPr>
          <w:b w:val="false"/>
          <w:bCs w:val="false"/>
          <w:sz w:val="19"/>
          <w:szCs w:val="19"/>
        </w:rPr>
        <w:tab/>
        <w:t xml:space="preserve">3</w:t>
      </w:r>
    </w:p>
    <w:p>
      <w:pPr>
        <w:tabs>
          <w:tab w:val="right" w:pos="9638" w:leader="dot"/>
        </w:tabs>
        <w:spacing w:after="30" w:before="100"/>
        <w:ind w:left="0"/>
      </w:pPr>
      <w:hyperlink w:history="1" w:anchor="h5">
        <w:r>
          <w:rPr>
            <w:b/>
            <w:bCs/>
            <w:color w:val="5B3A1E"/>
            <w:sz w:val="21"/>
            <w:szCs w:val="21"/>
          </w:rPr>
          <w:t xml:space="preserve">4. Video Uploader (M01-S02)</w:t>
        </w:r>
      </w:hyperlink>
      <w:r>
        <w:rPr>
          <w:b/>
          <w:bCs/>
          <w:sz w:val="21"/>
          <w:szCs w:val="21"/>
        </w:rPr>
        <w:tab/>
        <w:t xml:space="preserve">4</w:t>
      </w:r>
    </w:p>
    <w:p>
      <w:pPr>
        <w:tabs>
          <w:tab w:val="right" w:pos="9638" w:leader="dot"/>
        </w:tabs>
        <w:spacing w:after="30" w:before="100"/>
        <w:ind w:left="0"/>
      </w:pPr>
      <w:hyperlink w:history="1" w:anchor="h6">
        <w:r>
          <w:rPr>
            <w:b/>
            <w:bCs/>
            <w:color w:val="5B3A1E"/>
            <w:sz w:val="21"/>
            <w:szCs w:val="21"/>
          </w:rPr>
          <w:t xml:space="preserve">5. Document Uploader (M01-S03)</w:t>
        </w:r>
      </w:hyperlink>
      <w:r>
        <w:rPr>
          <w:b/>
          <w:bCs/>
          <w:sz w:val="21"/>
          <w:szCs w:val="21"/>
        </w:rPr>
        <w:tab/>
        <w:t xml:space="preserve">4</w:t>
      </w:r>
    </w:p>
    <w:p>
      <w:pPr>
        <w:tabs>
          <w:tab w:val="right" w:pos="9638" w:leader="dot"/>
        </w:tabs>
        <w:spacing w:after="30" w:before="100"/>
        <w:ind w:left="0"/>
      </w:pPr>
      <w:hyperlink w:history="1" w:anchor="h7">
        <w:r>
          <w:rPr>
            <w:b/>
            <w:bCs/>
            <w:color w:val="5B3A1E"/>
            <w:sz w:val="21"/>
            <w:szCs w:val="21"/>
          </w:rPr>
          <w:t xml:space="preserve">6. Unit Picker and Price Display (M01-S04)</w:t>
        </w:r>
      </w:hyperlink>
      <w:r>
        <w:rPr>
          <w:b/>
          <w:bCs/>
          <w:sz w:val="21"/>
          <w:szCs w:val="21"/>
        </w:rPr>
        <w:tab/>
        <w:t xml:space="preserve">5</w:t>
      </w:r>
    </w:p>
    <w:p>
      <w:pPr>
        <w:tabs>
          <w:tab w:val="right" w:pos="9638" w:leader="dot"/>
        </w:tabs>
        <w:spacing w:after="30" w:before="100"/>
        <w:ind w:left="0"/>
      </w:pPr>
      <w:hyperlink w:history="1" w:anchor="h8">
        <w:r>
          <w:rPr>
            <w:b/>
            <w:bCs/>
            <w:color w:val="5B3A1E"/>
            <w:sz w:val="21"/>
            <w:szCs w:val="21"/>
          </w:rPr>
          <w:t xml:space="preserve">7. Numbers, Dates and Language</w:t>
        </w:r>
      </w:hyperlink>
      <w:r>
        <w:rPr>
          <w:b/>
          <w:bCs/>
          <w:sz w:val="21"/>
          <w:szCs w:val="21"/>
        </w:rPr>
        <w:tab/>
        <w:t xml:space="preserve">5</w:t>
      </w:r>
    </w:p>
    <w:p>
      <w:pPr>
        <w:tabs>
          <w:tab w:val="right" w:pos="9638" w:leader="dot"/>
        </w:tabs>
        <w:spacing w:after="30" w:before="0"/>
        <w:ind w:left="360"/>
      </w:pPr>
      <w:hyperlink w:history="1" w:anchor="h9">
        <w:r>
          <w:rPr>
            <w:b w:val="false"/>
            <w:bCs w:val="false"/>
            <w:color w:val="262626"/>
            <w:sz w:val="19"/>
            <w:szCs w:val="19"/>
          </w:rPr>
          <w:t xml:space="preserve">7.1 Account → Preferences (M01-S09)</w:t>
        </w:r>
      </w:hyperlink>
      <w:r>
        <w:rPr>
          <w:b w:val="false"/>
          <w:bCs w:val="false"/>
          <w:sz w:val="19"/>
          <w:szCs w:val="19"/>
        </w:rPr>
        <w:tab/>
        <w:t xml:space="preserve">5</w:t>
      </w:r>
    </w:p>
    <w:p>
      <w:pPr>
        <w:tabs>
          <w:tab w:val="right" w:pos="9638" w:leader="dot"/>
        </w:tabs>
        <w:spacing w:after="30" w:before="100"/>
        <w:ind w:left="0"/>
      </w:pPr>
      <w:hyperlink w:history="1" w:anchor="h10">
        <w:r>
          <w:rPr>
            <w:b/>
            <w:bCs/>
            <w:color w:val="5B3A1E"/>
            <w:sz w:val="21"/>
            <w:szCs w:val="21"/>
          </w:rPr>
          <w:t xml:space="preserve">8. Cookie Banner (M01-S05)</w:t>
        </w:r>
      </w:hyperlink>
      <w:r>
        <w:rPr>
          <w:b/>
          <w:bCs/>
          <w:sz w:val="21"/>
          <w:szCs w:val="21"/>
        </w:rPr>
        <w:tab/>
        <w:t xml:space="preserve">6</w:t>
      </w:r>
    </w:p>
    <w:p>
      <w:pPr>
        <w:tabs>
          <w:tab w:val="right" w:pos="9638" w:leader="dot"/>
        </w:tabs>
        <w:spacing w:after="30" w:before="100"/>
        <w:ind w:left="0"/>
      </w:pPr>
      <w:hyperlink w:history="1" w:anchor="h11">
        <w:r>
          <w:rPr>
            <w:b/>
            <w:bCs/>
            <w:color w:val="5B3A1E"/>
            <w:sz w:val="21"/>
            <w:szCs w:val="21"/>
          </w:rPr>
          <w:t xml:space="preserve">9. My Account Activity (M01-S06)</w:t>
        </w:r>
      </w:hyperlink>
      <w:r>
        <w:rPr>
          <w:b/>
          <w:bCs/>
          <w:sz w:val="21"/>
          <w:szCs w:val="21"/>
        </w:rPr>
        <w:tab/>
        <w:t xml:space="preserve">6</w:t>
      </w:r>
    </w:p>
    <w:p>
      <w:pPr>
        <w:tabs>
          <w:tab w:val="right" w:pos="9638" w:leader="dot"/>
        </w:tabs>
        <w:spacing w:after="30" w:before="100"/>
        <w:ind w:left="0"/>
      </w:pPr>
      <w:hyperlink w:history="1" w:anchor="h12">
        <w:r>
          <w:rPr>
            <w:b/>
            <w:bCs/>
            <w:color w:val="5B3A1E"/>
            <w:sz w:val="21"/>
            <w:szCs w:val="21"/>
          </w:rPr>
          <w:t xml:space="preserve">10. Error and Status Pages (M01-S07)</w:t>
        </w:r>
      </w:hyperlink>
      <w:r>
        <w:rPr>
          <w:b/>
          <w:bCs/>
          <w:sz w:val="21"/>
          <w:szCs w:val="21"/>
        </w:rPr>
        <w:tab/>
        <w:t xml:space="preserve">7</w:t>
      </w:r>
    </w:p>
    <w:p>
      <w:pPr>
        <w:tabs>
          <w:tab w:val="right" w:pos="9638" w:leader="dot"/>
        </w:tabs>
        <w:spacing w:after="30" w:before="0"/>
        <w:ind w:left="360"/>
      </w:pPr>
      <w:hyperlink w:history="1" w:anchor="h13">
        <w:r>
          <w:rPr>
            <w:b w:val="false"/>
            <w:bCs w:val="false"/>
            <w:color w:val="262626"/>
            <w:sz w:val="19"/>
            <w:szCs w:val="19"/>
          </w:rPr>
          <w:t xml:space="preserve">10.1 Report a security issue page (M01-S08)</w:t>
        </w:r>
      </w:hyperlink>
      <w:r>
        <w:rPr>
          <w:b w:val="false"/>
          <w:bCs w:val="false"/>
          <w:sz w:val="19"/>
          <w:szCs w:val="19"/>
        </w:rPr>
        <w:tab/>
        <w:t xml:space="preserve">7</w:t>
      </w:r>
    </w:p>
    <w:p>
      <w:pPr>
        <w:tabs>
          <w:tab w:val="right" w:pos="9638" w:leader="dot"/>
        </w:tabs>
        <w:spacing w:after="30" w:before="100"/>
        <w:ind w:left="0"/>
      </w:pPr>
      <w:hyperlink w:history="1" w:anchor="h14">
        <w:r>
          <w:rPr>
            <w:b/>
            <w:bCs/>
            <w:color w:val="5B3A1E"/>
            <w:sz w:val="21"/>
            <w:szCs w:val="21"/>
          </w:rPr>
          <w:t xml:space="preserve">11. Accessibility</w:t>
        </w:r>
      </w:hyperlink>
      <w:r>
        <w:rPr>
          <w:b/>
          <w:bCs/>
          <w:sz w:val="21"/>
          <w:szCs w:val="21"/>
        </w:rPr>
        <w:tab/>
        <w:t xml:space="preserve">7</w:t>
      </w:r>
    </w:p>
    <w:p>
      <w:pPr>
        <w:tabs>
          <w:tab w:val="right" w:pos="9638" w:leader="dot"/>
        </w:tabs>
        <w:spacing w:after="30" w:before="100"/>
        <w:ind w:left="0"/>
      </w:pPr>
      <w:hyperlink w:history="1" w:anchor="h15">
        <w:r>
          <w:rPr>
            <w:b/>
            <w:bCs/>
            <w:color w:val="5B3A1E"/>
            <w:sz w:val="21"/>
            <w:szCs w:val="21"/>
          </w:rPr>
          <w:t xml:space="preserve">12. Staff and Settings Screens</w:t>
        </w:r>
      </w:hyperlink>
      <w:r>
        <w:rPr>
          <w:b/>
          <w:bCs/>
          <w:sz w:val="21"/>
          <w:szCs w:val="21"/>
        </w:rPr>
        <w:tab/>
        <w:t xml:space="preserve">8</w:t>
      </w:r>
    </w:p>
    <w:p>
      <w:pPr>
        <w:tabs>
          <w:tab w:val="right" w:pos="9638" w:leader="dot"/>
        </w:tabs>
        <w:spacing w:after="30" w:before="0"/>
        <w:ind w:left="360"/>
      </w:pPr>
      <w:hyperlink w:history="1" w:anchor="h16">
        <w:r>
          <w:rPr>
            <w:b w:val="false"/>
            <w:bCs w:val="false"/>
            <w:color w:val="262626"/>
            <w:sz w:val="19"/>
            <w:szCs w:val="19"/>
          </w:rPr>
          <w:t xml:space="preserve">12.1 Common settings pattern</w:t>
        </w:r>
      </w:hyperlink>
      <w:r>
        <w:rPr>
          <w:b w:val="false"/>
          <w:bCs w:val="false"/>
          <w:sz w:val="19"/>
          <w:szCs w:val="19"/>
        </w:rPr>
        <w:tab/>
        <w:t xml:space="preserve">8</w:t>
      </w:r>
    </w:p>
    <w:p>
      <w:pPr>
        <w:tabs>
          <w:tab w:val="right" w:pos="9638" w:leader="dot"/>
        </w:tabs>
        <w:spacing w:after="30" w:before="0"/>
        <w:ind w:left="360"/>
      </w:pPr>
      <w:hyperlink w:history="1" w:anchor="h17">
        <w:r>
          <w:rPr>
            <w:b w:val="false"/>
            <w:bCs w:val="false"/>
            <w:color w:val="262626"/>
            <w:sz w:val="19"/>
            <w:szCs w:val="19"/>
          </w:rPr>
          <w:t xml:space="preserve">12.2 Settings editor (M01-AD-01)</w:t>
        </w:r>
      </w:hyperlink>
      <w:r>
        <w:rPr>
          <w:b w:val="false"/>
          <w:bCs w:val="false"/>
          <w:sz w:val="19"/>
          <w:szCs w:val="19"/>
        </w:rPr>
        <w:tab/>
        <w:t xml:space="preserve">10</w:t>
      </w:r>
    </w:p>
    <w:p>
      <w:pPr>
        <w:tabs>
          <w:tab w:val="right" w:pos="9638" w:leader="dot"/>
        </w:tabs>
        <w:spacing w:after="30" w:before="0"/>
        <w:ind w:left="360"/>
      </w:pPr>
      <w:hyperlink w:history="1" w:anchor="h18">
        <w:r>
          <w:rPr>
            <w:b w:val="false"/>
            <w:bCs w:val="false"/>
            <w:color w:val="262626"/>
            <w:sz w:val="19"/>
            <w:szCs w:val="19"/>
          </w:rPr>
          <w:t xml:space="preserve">12.3 Feature switches and overrides (M01-AD-02)</w:t>
        </w:r>
      </w:hyperlink>
      <w:r>
        <w:rPr>
          <w:b w:val="false"/>
          <w:bCs w:val="false"/>
          <w:sz w:val="19"/>
          <w:szCs w:val="19"/>
        </w:rPr>
        <w:tab/>
        <w:t xml:space="preserve">11</w:t>
      </w:r>
    </w:p>
    <w:p>
      <w:pPr>
        <w:tabs>
          <w:tab w:val="right" w:pos="9638" w:leader="dot"/>
        </w:tabs>
        <w:spacing w:after="30" w:before="0"/>
        <w:ind w:left="360"/>
      </w:pPr>
      <w:hyperlink w:history="1" w:anchor="h19">
        <w:r>
          <w:rPr>
            <w:b w:val="false"/>
            <w:bCs w:val="false"/>
            <w:color w:val="262626"/>
            <w:sz w:val="19"/>
            <w:szCs w:val="19"/>
          </w:rPr>
          <w:t xml:space="preserve">12.4 Country table (M01-AD-03)</w:t>
        </w:r>
      </w:hyperlink>
      <w:r>
        <w:rPr>
          <w:b w:val="false"/>
          <w:bCs w:val="false"/>
          <w:sz w:val="19"/>
          <w:szCs w:val="19"/>
        </w:rPr>
        <w:tab/>
        <w:t xml:space="preserve">12</w:t>
      </w:r>
    </w:p>
    <w:p>
      <w:pPr>
        <w:tabs>
          <w:tab w:val="right" w:pos="9638" w:leader="dot"/>
        </w:tabs>
        <w:spacing w:after="30" w:before="0"/>
        <w:ind w:left="360"/>
      </w:pPr>
      <w:hyperlink w:history="1" w:anchor="h20">
        <w:r>
          <w:rPr>
            <w:b w:val="false"/>
            <w:bCs w:val="false"/>
            <w:color w:val="262626"/>
            <w:sz w:val="19"/>
            <w:szCs w:val="19"/>
          </w:rPr>
          <w:t xml:space="preserve">12.5 Reserved names (M01-AD-04)</w:t>
        </w:r>
      </w:hyperlink>
      <w:r>
        <w:rPr>
          <w:b w:val="false"/>
          <w:bCs w:val="false"/>
          <w:sz w:val="19"/>
          <w:szCs w:val="19"/>
        </w:rPr>
        <w:tab/>
        <w:t xml:space="preserve">13</w:t>
      </w:r>
    </w:p>
    <w:p>
      <w:pPr>
        <w:tabs>
          <w:tab w:val="right" w:pos="9638" w:leader="dot"/>
        </w:tabs>
        <w:spacing w:after="30" w:before="0"/>
        <w:ind w:left="360"/>
      </w:pPr>
      <w:hyperlink w:history="1" w:anchor="h21">
        <w:r>
          <w:rPr>
            <w:b w:val="false"/>
            <w:bCs w:val="false"/>
            <w:color w:val="262626"/>
            <w:sz w:val="19"/>
            <w:szCs w:val="19"/>
          </w:rPr>
          <w:t xml:space="preserve">12.6 Holiday calendar (M01-AD-05)</w:t>
        </w:r>
      </w:hyperlink>
      <w:r>
        <w:rPr>
          <w:b w:val="false"/>
          <w:bCs w:val="false"/>
          <w:sz w:val="19"/>
          <w:szCs w:val="19"/>
        </w:rPr>
        <w:tab/>
        <w:t xml:space="preserve">13</w:t>
      </w:r>
    </w:p>
    <w:p>
      <w:pPr>
        <w:tabs>
          <w:tab w:val="right" w:pos="9638" w:leader="dot"/>
        </w:tabs>
        <w:spacing w:after="30" w:before="0"/>
        <w:ind w:left="360"/>
      </w:pPr>
      <w:hyperlink w:history="1" w:anchor="h22">
        <w:r>
          <w:rPr>
            <w:b w:val="false"/>
            <w:bCs w:val="false"/>
            <w:color w:val="262626"/>
            <w:sz w:val="19"/>
            <w:szCs w:val="19"/>
          </w:rPr>
          <w:t xml:space="preserve">12.7 Rate limits (M01-AD-06)</w:t>
        </w:r>
      </w:hyperlink>
      <w:r>
        <w:rPr>
          <w:b w:val="false"/>
          <w:bCs w:val="false"/>
          <w:sz w:val="19"/>
          <w:szCs w:val="19"/>
        </w:rPr>
        <w:tab/>
        <w:t xml:space="preserve">13</w:t>
      </w:r>
    </w:p>
    <w:p>
      <w:pPr>
        <w:tabs>
          <w:tab w:val="right" w:pos="9638" w:leader="dot"/>
        </w:tabs>
        <w:spacing w:after="30" w:before="0"/>
        <w:ind w:left="360"/>
      </w:pPr>
      <w:hyperlink w:history="1" w:anchor="h23">
        <w:r>
          <w:rPr>
            <w:b w:val="false"/>
            <w:bCs w:val="false"/>
            <w:color w:val="262626"/>
            <w:sz w:val="19"/>
            <w:szCs w:val="19"/>
          </w:rPr>
          <w:t xml:space="preserve">12.8 AI usage and budgets (M01-AD-07)</w:t>
        </w:r>
      </w:hyperlink>
      <w:r>
        <w:rPr>
          <w:b w:val="false"/>
          <w:bCs w:val="false"/>
          <w:sz w:val="19"/>
          <w:szCs w:val="19"/>
        </w:rPr>
        <w:tab/>
        <w:t xml:space="preserve">14</w:t>
      </w:r>
    </w:p>
    <w:p>
      <w:pPr>
        <w:tabs>
          <w:tab w:val="right" w:pos="9638" w:leader="dot"/>
        </w:tabs>
        <w:spacing w:after="30" w:before="0"/>
        <w:ind w:left="360"/>
      </w:pPr>
      <w:hyperlink w:history="1" w:anchor="h24">
        <w:r>
          <w:rPr>
            <w:b w:val="false"/>
            <w:bCs w:val="false"/>
            <w:color w:val="262626"/>
            <w:sz w:val="19"/>
            <w:szCs w:val="19"/>
          </w:rPr>
          <w:t xml:space="preserve">12.9 Audit log viewer (M01-AD-08)</w:t>
        </w:r>
      </w:hyperlink>
      <w:r>
        <w:rPr>
          <w:b w:val="false"/>
          <w:bCs w:val="false"/>
          <w:sz w:val="19"/>
          <w:szCs w:val="19"/>
        </w:rPr>
        <w:tab/>
        <w:t xml:space="preserve">14</w:t>
      </w:r>
    </w:p>
    <w:p>
      <w:pPr>
        <w:tabs>
          <w:tab w:val="right" w:pos="9638" w:leader="dot"/>
        </w:tabs>
        <w:spacing w:after="30" w:before="0"/>
        <w:ind w:left="360"/>
      </w:pPr>
      <w:hyperlink w:history="1" w:anchor="h25">
        <w:r>
          <w:rPr>
            <w:b w:val="false"/>
            <w:bCs w:val="false"/>
            <w:color w:val="262626"/>
            <w:sz w:val="19"/>
            <w:szCs w:val="19"/>
          </w:rPr>
          <w:t xml:space="preserve">12.10 Legal hold (M01-AD-09)</w:t>
        </w:r>
      </w:hyperlink>
      <w:r>
        <w:rPr>
          <w:b w:val="false"/>
          <w:bCs w:val="false"/>
          <w:sz w:val="19"/>
          <w:szCs w:val="19"/>
        </w:rPr>
        <w:tab/>
        <w:t xml:space="preserve">15</w:t>
      </w:r>
    </w:p>
    <w:p>
      <w:pPr>
        <w:tabs>
          <w:tab w:val="right" w:pos="9638" w:leader="dot"/>
        </w:tabs>
        <w:spacing w:after="30" w:before="0"/>
        <w:ind w:left="360"/>
      </w:pPr>
      <w:hyperlink w:history="1" w:anchor="h26">
        <w:r>
          <w:rPr>
            <w:b w:val="false"/>
            <w:bCs w:val="false"/>
            <w:color w:val="262626"/>
            <w:sz w:val="19"/>
            <w:szCs w:val="19"/>
          </w:rPr>
          <w:t xml:space="preserve">12.11 Failed jobs (M01-AD-10)</w:t>
        </w:r>
      </w:hyperlink>
      <w:r>
        <w:rPr>
          <w:b w:val="false"/>
          <w:bCs w:val="false"/>
          <w:sz w:val="19"/>
          <w:szCs w:val="19"/>
        </w:rPr>
        <w:tab/>
        <w:t xml:space="preserve">16</w:t>
      </w:r>
    </w:p>
    <w:p>
      <w:pPr>
        <w:tabs>
          <w:tab w:val="right" w:pos="9638" w:leader="dot"/>
        </w:tabs>
        <w:spacing w:after="30" w:before="0"/>
        <w:ind w:left="360"/>
      </w:pPr>
      <w:hyperlink w:history="1" w:anchor="h27">
        <w:r>
          <w:rPr>
            <w:b w:val="false"/>
            <w:bCs w:val="false"/>
            <w:color w:val="262626"/>
            <w:sz w:val="19"/>
            <w:szCs w:val="19"/>
          </w:rPr>
          <w:t xml:space="preserve">12.12 Retention policies (M01-AD-11)</w:t>
        </w:r>
      </w:hyperlink>
      <w:r>
        <w:rPr>
          <w:b w:val="false"/>
          <w:bCs w:val="false"/>
          <w:sz w:val="19"/>
          <w:szCs w:val="19"/>
        </w:rPr>
        <w:tab/>
        <w:t xml:space="preserve">17</w:t>
      </w:r>
    </w:p>
    <w:p>
      <w:pPr>
        <w:tabs>
          <w:tab w:val="right" w:pos="9638" w:leader="dot"/>
        </w:tabs>
        <w:spacing w:after="30" w:before="0"/>
        <w:ind w:left="360"/>
      </w:pPr>
      <w:hyperlink w:history="1" w:anchor="h28">
        <w:r>
          <w:rPr>
            <w:b w:val="false"/>
            <w:bCs w:val="false"/>
            <w:color w:val="262626"/>
            <w:sz w:val="19"/>
            <w:szCs w:val="19"/>
          </w:rPr>
          <w:t xml:space="preserve">12.13 Units and conversion factors (M01-AD-12)</w:t>
        </w:r>
      </w:hyperlink>
      <w:r>
        <w:rPr>
          <w:b w:val="false"/>
          <w:bCs w:val="false"/>
          <w:sz w:val="19"/>
          <w:szCs w:val="19"/>
        </w:rPr>
        <w:tab/>
        <w:t xml:space="preserve">17</w:t>
      </w:r>
    </w:p>
    <w:p>
      <w:pPr>
        <w:tabs>
          <w:tab w:val="right" w:pos="9638" w:leader="dot"/>
        </w:tabs>
        <w:spacing w:after="30" w:before="0"/>
        <w:ind w:left="360"/>
      </w:pPr>
      <w:hyperlink w:history="1" w:anchor="h29">
        <w:r>
          <w:rPr>
            <w:b w:val="false"/>
            <w:bCs w:val="false"/>
            <w:color w:val="262626"/>
            <w:sz w:val="19"/>
            <w:szCs w:val="19"/>
          </w:rPr>
          <w:t xml:space="preserve">12.14 Photo location view (M01-AD-13)</w:t>
        </w:r>
      </w:hyperlink>
      <w:r>
        <w:rPr>
          <w:b w:val="false"/>
          <w:bCs w:val="false"/>
          <w:sz w:val="19"/>
          <w:szCs w:val="19"/>
        </w:rPr>
        <w:tab/>
        <w:t xml:space="preserve">18</w:t>
      </w:r>
    </w:p>
    <w:p>
      <w:pPr>
        <w:tabs>
          <w:tab w:val="right" w:pos="9638" w:leader="dot"/>
        </w:tabs>
        <w:spacing w:after="30" w:before="0"/>
        <w:ind w:left="360"/>
      </w:pPr>
      <w:hyperlink w:history="1" w:anchor="h30">
        <w:r>
          <w:rPr>
            <w:b w:val="false"/>
            <w:bCs w:val="false"/>
            <w:color w:val="262626"/>
            <w:sz w:val="19"/>
            <w:szCs w:val="19"/>
          </w:rPr>
          <w:t xml:space="preserve">12.15 Simple lists (M01-AD-14)</w:t>
        </w:r>
      </w:hyperlink>
      <w:r>
        <w:rPr>
          <w:b w:val="false"/>
          <w:bCs w:val="false"/>
          <w:sz w:val="19"/>
          <w:szCs w:val="19"/>
        </w:rPr>
        <w:tab/>
        <w:t xml:space="preserve">18</w:t>
      </w:r>
    </w:p>
    <w:p>
      <w:pPr>
        <w:tabs>
          <w:tab w:val="right" w:pos="9638" w:leader="dot"/>
        </w:tabs>
        <w:spacing w:after="30" w:before="0"/>
        <w:ind w:left="360"/>
      </w:pPr>
      <w:hyperlink w:history="1" w:anchor="h31">
        <w:r>
          <w:rPr>
            <w:b w:val="false"/>
            <w:bCs w:val="false"/>
            <w:color w:val="262626"/>
            <w:sz w:val="19"/>
            <w:szCs w:val="19"/>
          </w:rPr>
          <w:t xml:space="preserve">12.16 Blocks (M01-AD-15)</w:t>
        </w:r>
      </w:hyperlink>
      <w:r>
        <w:rPr>
          <w:b w:val="false"/>
          <w:bCs w:val="false"/>
          <w:sz w:val="19"/>
          <w:szCs w:val="19"/>
        </w:rPr>
        <w:tab/>
        <w:t xml:space="preserve">19</w:t>
      </w:r>
    </w:p>
    <w:p>
      <w:pPr>
        <w:pStyle w:val="Heading1"/>
        <w:spacing w:after="200" w:before="360"/>
      </w:pPr>
      <w:bookmarkStart w:name="h1" w:id="1"/>
      <w:r>
        <w:t xml:space="preserve">1. Purpose</w:t>
      </w:r>
      <w:bookmarkEnd w:id="1"/>
    </w:p>
    <w:p>
      <w:pPr>
        <w:spacing w:after="120" w:line="276"/>
      </w:pPr>
      <w:r>
        <w:t xml:space="preserve">This specification defines the shared screens and components Module 1 provides to every other module, with their states and wording. Visual style (colours, fonts, spacing, components) comes from the UX/UI Foundation; this document defines behaviour and content.</w:t>
      </w:r>
    </w:p>
    <w:p>
      <w:pPr>
        <w:pStyle w:val="Heading1"/>
        <w:spacing w:after="200" w:before="360"/>
      </w:pPr>
      <w:bookmarkStart w:name="h2" w:id="2"/>
      <w:r>
        <w:t xml:space="preserve">2. Design Principles</w:t>
      </w:r>
      <w:bookmarkEnd w:id="2"/>
    </w:p>
    <w:p>
      <w:pPr>
        <w:spacing w:after="120" w:line="276"/>
      </w:pPr>
      <w:r>
        <w:t xml:space="preserve">Module 1 screens follow the design principles, tokens, components and writing guide of the </w:t>
      </w:r>
      <w:r>
        <w:rPr>
          <w:b/>
          <w:bCs/>
        </w:rPr>
        <w:t xml:space="preserve">UX/UI Foundation</w:t>
      </w:r>
      <w:r>
        <w:t xml:space="preserve"> (Sections 2–9), its farmer simple mode (Section 8.7), its accessibility checklist (Section 11, WCAG 2.2 AA) and its screen checklist for every module (Section 13). This document adds only the Module 1 components and their wording. Brand name, logo and colours always come from design tokens and configuration, never from a screen design (white-label, M01-2 ENV-012).</w:t>
      </w:r>
    </w:p>
    <w:p>
      <w:pPr>
        <w:pStyle w:val="Heading1"/>
        <w:spacing w:after="200" w:before="360"/>
      </w:pPr>
      <w:bookmarkStart w:name="h3" w:id="3"/>
      <w:r>
        <w:t xml:space="preserve">3. Photo Uploader (M01-S01)</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tblHeader/>
        </w:trPr>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w:t>
            </w:r>
          </w:p>
        </w:tc>
        <w:tc>
          <w:tcPr>
            <w:tcW w:type="dxa" w:w="790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Box with camera icon: “Add photos (up to {n}). JPG, PNG, WEBP or iPhone photos, max {max} MB each.” Buttons: Take photo · Choose from gallery (mobile) / Drop photos here or Browse (desktop).</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Uploading</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Thumbnail with progress ring and “Uploading 60%”; Cancel (×).</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Checking</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Thumbnail with “Checking…” (safety scan and processing).</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Ready</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Thumbnail; first one tagged “Cover”; drag handle to reorder; delete icon; counter “4 of {n}”.</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Warning</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Amber badge: “This photo is small or blurry — buyers prefer clear photos.” Photo still accepted.</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Red message: “This file type isn’t supported” / “Photo is larger than {max} MB” / “This photo is too large to process” / “We couldn’t use this file: our safety scan found a problem. Please upload a different file.” / “Upload failed — Retry”.</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Limit reached</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“You’ve added {n} photos, the maximum.” Add button disabled.</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Held for review</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Amber chip “Held — this photo seems to show contact details (a phone number, email, web address, payment ID or QR code). Contact details aren’t allowed in photos. Our team will check it.” Button: Replace photo.</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Copied photo</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suspected copy stays visible and shows nothing to the seller while it is checked. Only if moderation confirms: “This photo matches another seller’s photo. Please use your own photos.”</w:t>
            </w:r>
          </w:p>
        </w:tc>
      </w:tr>
    </w:tbl>
    <w:p>
      <w:pPr>
        <w:spacing w:after="120"/>
      </w:pPr>
    </w:p>
    <w:p>
      <w:pPr>
        <w:spacing w:after="120" w:line="276"/>
      </w:pPr>
      <w:r>
        <w:rPr>
          <w:b/>
          <w:bCs/>
        </w:rPr>
        <w:t xml:space="preserve">Numbers in texts come from the settings</w:t>
      </w:r>
      <w:r>
        <w:t xml:space="preserve"> (M01-2 Section 18) and can differ by plan or category: {n} = files.listing.photos_max (default 10), {max} = files.photo.max_mb (default 15). The pictures and examples use the defaults.</w:t>
      </w:r>
    </w:p>
    <w:p>
      <w:pPr>
        <w:spacing w:after="120" w:line="276"/>
      </w:pPr>
      <w:r>
        <w:rPr>
          <w:b/>
          <w:bCs/>
        </w:rPr>
        <w:t xml:space="preserve">Business-location photos</w:t>
      </w:r>
      <w:r>
        <w:t xml:space="preserve"> (M03 business locations, M01-2 FIL-026) use the same uploader and states with their own limits: “Add up to {n} photos of this site.” ({n} = files.location_photo.max_per_location, default 2) and “You’ve added {n} photos for this site, the maximum.”</w:t>
      </w:r>
    </w:p>
    <w:p>
      <w:pPr>
        <w:spacing w:after="120" w:line="276"/>
      </w:pPr>
      <w:r>
        <w:t xml:space="preserve">Small note under the uploader, only for purposes that keep the location (farm-visit, verification, business-location and origin-check photos, M01-2 FIL-022): “Location is never shown publicly. OudhTrade staff may use it to check origin.” For all other photos the location is removed at upload and no note is shown.</w:t>
      </w:r>
    </w:p>
    <w:p>
      <w:pPr>
        <w:spacing w:after="120" w:line="276"/>
      </w:pPr>
      <w:r>
        <w:t xml:space="preserve">Option below the photos: toggle “Add OudhTrade watermark to my photos” (off), with a small info icon explaining it helps stop copying. The choice is remembered for the account and used for the next photos; each photo keeps the choice it was uploaded with.</w:t>
      </w:r>
    </w:p>
    <w:p>
      <w:pPr>
        <w:pStyle w:val="Heading2"/>
      </w:pPr>
      <w:bookmarkStart w:name="h4" w:id="4"/>
      <w:r>
        <w:t xml:space="preserve">3.1 Farmer simple mode: photo and video upload</w:t>
      </w:r>
      <w:bookmarkEnd w:id="4"/>
    </w:p>
    <w:p>
      <w:pPr>
        <w:spacing w:after="120" w:line="276"/>
      </w:pPr>
      <w:r>
        <w:t xml:space="preserve">Used for farmer accounts and field agents working for a farmer (UX/UI Foundation, Section 8.7). Buttons and touch targets at least 48 × 48 px; one big action per screen; short, everyday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farmer sees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Start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Two big buttons with icons: “Take photo” (opens the camera) · “Choose photo”. Line: “Add photos of your trees, wood or oil.” For video: one button “Record video (up to 60 seconds)”.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Sending</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Full-width progress bar per file with large text “Sending… 40%”. Other photos wait in a queue shown as small thumbnails.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Slow or no network</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Amber bar: “Waiting for network — we’ll continue by ourselves.” The upload resumes from where it stopped; nothing is lost if the page is closed and opened again.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Sent</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Green tick and “Sent”. First photo shows “Cover”; a “Make cover” button replaces drag-to-reorder.</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Failed</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“Couldn’t send this photo.” Big button </w:t>
            </w:r>
            <w:r>
              <w:rPr>
                <w:sz w:val="19"/>
                <w:szCs w:val="19"/>
              </w:rPr>
              <w:t xml:space="preserve">Try again</w:t>
            </w:r>
            <w:r>
              <w:rPr>
                <w:sz w:val="19"/>
                <w:szCs w:val="19"/>
              </w:rPr>
              <w:t xml:space="preserve">; small link “Remove”.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Held / in review</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Same meaning as the standard states, in shorter words: “Our team will check this photo.” / “Our team will check your video before it goes live.”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Help</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Button “Call my field agent” on every upload screen.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Header</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short header “OudhTrade · Farmer” instead of the full site header, so the one big action has the most room.</w:t>
            </w:r>
          </w:p>
        </w:tc>
      </w:tr>
    </w:tbl>
    <w:p>
      <w:pPr>
        <w:spacing w:after="120"/>
      </w:pPr>
    </w:p>
    <w:p>
      <w:pPr>
        <w:pStyle w:val="Heading1"/>
        <w:spacing w:after="200" w:before="360"/>
      </w:pPr>
      <w:bookmarkStart w:name="h5" w:id="5"/>
      <w:r>
        <w:t xml:space="preserve">4. Video Uploader (M01-S02)</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tblHeader/>
        </w:trPr>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w:t>
            </w:r>
          </w:p>
        </w:tc>
        <w:tc>
          <w:tcPr>
            <w:tcW w:type="dxa" w:w="790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Not verified</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Shown instead of the uploader when the account is not verified: “Only verified sellers and farmers can add video. Get verified first.” Link: Get verified (M03).</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Allowance</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“Video: {used} of {total} used on your plan.” (e.g. 1 of 2; from the plan allowance, Module 11). If none left: “Upgrade your plan to add video to more listings” (link), upload disabled.</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“Add one short video (up to {seconds} seconds, MP4 or MOV, max {max} MB).” Tip: “Show the product close-up, burning test or distillation.”</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Too long</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upload: “This video is {length}. Please trim it to {seconds} seconds or less.” (e.g. “This video is 1 min 25 s. Please trim it to 60 seconds or less.”)</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Too large</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upload: “Video is larger than {max} MB.” Upload does not start.</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Uploading</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Progress bar with percentage; resumes after network loss. Farmer simple mode: see Section 3.1.</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Processing</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Chip “Processing — this can take a few minutes. You can keep editing.”</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In review</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Chip “In review — our team checks videos before they go live (usually within {service target}).”</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Live</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Chip “Live”; player with cover image, muted by default, sound button.</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Rejected</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Chip “Not approved” + reason, e.g. “Shows a phone number. Please remove contact details and upload again.”</w:t>
            </w:r>
          </w:p>
        </w:tc>
      </w:tr>
    </w:tbl>
    <w:p>
      <w:pPr>
        <w:spacing w:after="120"/>
      </w:pPr>
    </w:p>
    <w:p>
      <w:pPr>
        <w:spacing w:after="120" w:line="276"/>
      </w:pPr>
      <w:r>
        <w:t xml:space="preserve">{seconds} = files.video.max_seconds (default 60), {max} = files.video.max_mb (default 100). </w:t>
      </w:r>
      <w:r>
        <w:rPr>
          <w:b/>
          <w:bCs/>
        </w:rPr>
        <w:t xml:space="preserve">Business-location video</w:t>
      </w:r>
      <w:r>
        <w:t xml:space="preserve"> (M01-2 FIL-026): same states, one video per site, {seconds} = files.location_video.max_seconds and {max} = files.location_video.max_mb (default 45 and 45); the server compresses it.</w:t>
      </w:r>
    </w:p>
    <w:p>
      <w:pPr>
        <w:pStyle w:val="Heading1"/>
        <w:spacing w:after="200" w:before="360"/>
      </w:pPr>
      <w:bookmarkStart w:name="h6" w:id="6"/>
      <w:r>
        <w:t xml:space="preserve">5. Document Uploader (M01-S03)</w:t>
      </w:r>
      <w:bookmarkEnd w:id="6"/>
    </w:p>
    <w:p>
      <w:pPr>
        <w:pStyle w:val="ListParagraph"/>
        <w:numPr>
          <w:ilvl w:val="0"/>
          <w:numId w:val="2"/>
        </w:numPr>
        <w:spacing w:after="60" w:line="264"/>
      </w:pPr>
      <w:r>
        <w:t xml:space="preserve">Label shows which document is needed (e.g. “GST certificate”) and the accepted formats: “PDF, JPG, PNG, HEIC/HEIF or WEBP, max {max} MB.” ({max} = files.document.max_mb, default 10). When a document has sides, the form shows one slot per side, e.g. “ID card — front” and “ID card — back”; the slot tells the system which side it is.</w:t>
      </w:r>
    </w:p>
    <w:p>
      <w:pPr>
        <w:pStyle w:val="ListParagraph"/>
        <w:numPr>
          <w:ilvl w:val="0"/>
          <w:numId w:val="2"/>
        </w:numPr>
        <w:spacing w:after="60" w:line="264"/>
      </w:pPr>
      <w:r>
        <w:t xml:space="preserve">After upload: file name, “Checking…”, then “Uploaded — under review” (the review itself is Module 3 / 6).</w:t>
      </w:r>
    </w:p>
    <w:p>
      <w:pPr>
        <w:pStyle w:val="ListParagraph"/>
        <w:numPr>
          <w:ilvl w:val="0"/>
          <w:numId w:val="2"/>
        </w:numPr>
        <w:spacing w:after="60" w:line="264"/>
      </w:pPr>
      <w:r>
        <w:t xml:space="preserve">Privacy note under every document uploader: “Documents are private. Only OudhTrade staff and people you approve can see them.”</w:t>
      </w:r>
    </w:p>
    <w:p>
      <w:pPr>
        <w:pStyle w:val="ListParagraph"/>
        <w:numPr>
          <w:ilvl w:val="0"/>
          <w:numId w:val="2"/>
        </w:numPr>
        <w:spacing w:after="60" w:line="264"/>
      </w:pPr>
      <w:r>
        <w:t xml:space="preserve">No thumbnails of documents on public pages, ever.</w:t>
      </w:r>
    </w:p>
    <w:p>
      <w:pPr>
        <w:pStyle w:val="ListParagraph"/>
        <w:numPr>
          <w:ilvl w:val="0"/>
          <w:numId w:val="2"/>
        </w:numPr>
        <w:spacing w:after="60" w:line="264"/>
      </w:pPr>
      <w:r>
        <w:t xml:space="preserve">Errors, under the file name: “This file type isn’t supported. Use PDF, JPG, PNG, HEIC/HEIF or WEBP.” · “File is larger than {max} MB.” · “We couldn’t use this file: our safety scan found a problem. Please upload a different file.” · “Upload failed — Retry”. The uploader can remove the file and try again.</w:t>
      </w:r>
    </w:p>
    <w:p>
      <w:pPr>
        <w:pStyle w:val="ListParagraph"/>
        <w:numPr>
          <w:ilvl w:val="0"/>
          <w:numId w:val="2"/>
        </w:numPr>
        <w:spacing w:after="60" w:line="264"/>
      </w:pPr>
      <w:r>
        <w:t xml:space="preserve">View: only the person who uploaded the document sees a </w:t>
      </w:r>
      <w:r>
        <w:rPr>
          <w:b/>
          <w:bCs/>
        </w:rPr>
        <w:t xml:space="preserve">View</w:t>
      </w:r>
      <w:r>
        <w:t xml:space="preserve"> button (signed link). OudhTrade staff see documents only in the watermarked viewer of Module 3.</w:t>
      </w:r>
    </w:p>
    <w:p>
      <w:pPr>
        <w:pStyle w:val="ListParagraph"/>
        <w:numPr>
          <w:ilvl w:val="0"/>
          <w:numId w:val="2"/>
        </w:numPr>
        <w:spacing w:after="60" w:line="264"/>
      </w:pPr>
      <w:r>
        <w:t xml:space="preserve">On phones, an empty document slot shows two buttons: </w:t>
      </w:r>
      <w:r>
        <w:rPr>
          <w:b/>
          <w:bCs/>
        </w:rPr>
        <w:t xml:space="preserve">Take photo of document</w:t>
      </w:r>
      <w:r>
        <w:t xml:space="preserve"> (opens the camera) and </w:t>
      </w:r>
      <w:r>
        <w:rPr>
          <w:b/>
          <w:bCs/>
        </w:rPr>
        <w:t xml:space="preserve">Choose file</w:t>
      </w:r>
      <w:r>
        <w:t xml:space="preserve">.</w:t>
      </w:r>
    </w:p>
    <w:p>
      <w:pPr>
        <w:pStyle w:val="Heading1"/>
        <w:spacing w:after="200" w:before="360"/>
      </w:pPr>
      <w:bookmarkStart w:name="h7" w:id="7"/>
      <w:r>
        <w:t xml:space="preserve">6. Unit Picker and Price Display (M01-S04)</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Specification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Unit picker</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Dropdown listing only allowed units for the item, grouped: Weight · Volume · Count · Area (on phones it opens as a bottom sheet). For bigha, katha and lessa a “State” dropdown appears and is required; only states with a factor are listed (M01-2 UNT-009).</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Price field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Currency fixed by account (₹ for India, $ for others), shown before the amount; unit is metric or count (“per ml”, “per kg”, “per piece”).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Price helper</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Link under the price field: “Know your price per tola?” opens a small box: “Price per tola (oil) ₹ [6000] → ₹500 per ml”. Button “Use this price”.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Price display (listing card)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Main: “₹500 / ml”. Below in grey: “≈ ₹6,000 / tola”. For viewers outside India: third line “≈ AED 22 / ml (guide only)”.</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Guide price info</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Info icon on the guide line: “Converted with today’s rate for your guidance. The seller’s price is in {currency}.” ({currency} is the listing currency, e.g. ₹ or $.)</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Area display</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 bigha (Assam) · ≈ 0.66 acre”.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Help</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Info icon: “Prices are in standard units so buyers can compare. 1 tola of oil = 12 ml.”</w:t>
            </w:r>
          </w:p>
        </w:tc>
      </w:tr>
    </w:tbl>
    <w:p>
      <w:pPr>
        <w:spacing w:after="120"/>
      </w:pPr>
    </w:p>
    <w:p>
      <w:pPr>
        <w:pStyle w:val="Heading1"/>
        <w:spacing w:after="200" w:before="360"/>
      </w:pPr>
      <w:bookmarkStart w:name="h8" w:id="8"/>
      <w:r>
        <w:t xml:space="preserve">7. Numbers, Dates and Language</w:t>
      </w:r>
      <w:bookmarkEnd w:id="8"/>
    </w:p>
    <w:p>
      <w:pPr>
        <w:pStyle w:val="ListParagraph"/>
        <w:numPr>
          <w:ilvl w:val="0"/>
          <w:numId w:val="2"/>
        </w:numPr>
        <w:spacing w:after="60" w:line="264"/>
      </w:pPr>
      <w:r>
        <w:t xml:space="preserve">Indian style: ₹1,00,000 and “₹1.5 lakh”; international: ₹100,000 and “₹150K”. Setting in Account → Preferences → “Number format”.</w:t>
      </w:r>
    </w:p>
    <w:p>
      <w:pPr>
        <w:pStyle w:val="ListParagraph"/>
        <w:numPr>
          <w:ilvl w:val="0"/>
          <w:numId w:val="2"/>
        </w:numPr>
        <w:spacing w:after="60" w:line="264"/>
      </w:pPr>
      <w:r>
        <w:t xml:space="preserve">Dates: “24 Sep 2026”; times with zone when relevant: “Review due by 25 Sep 2026, 3:00 PM IST”.</w:t>
      </w:r>
    </w:p>
    <w:p>
      <w:pPr>
        <w:pStyle w:val="ListParagraph"/>
        <w:numPr>
          <w:ilvl w:val="0"/>
          <w:numId w:val="2"/>
        </w:numPr>
        <w:spacing w:after="60" w:line="264"/>
      </w:pPr>
      <w:r>
        <w:t xml:space="preserve">Footer: language selector (English only at launch; shows “More languages coming soon”), number-format and guide-currency switch for visitors, “Cookie settings”, link to status page. On phones these switches and “Cookie settings” are in the ☰ menu instead of the footer.</w:t>
      </w:r>
    </w:p>
    <w:p>
      <w:pPr>
        <w:pStyle w:val="ListParagraph"/>
        <w:numPr>
          <w:ilvl w:val="0"/>
          <w:numId w:val="2"/>
        </w:numPr>
        <w:spacing w:after="60" w:line="264"/>
      </w:pPr>
      <w:r>
        <w:rPr>
          <w:b/>
          <w:bCs/>
        </w:rPr>
        <w:t xml:space="preserve">Phone number field (M01-S10):</w:t>
      </w:r>
      <w:r>
        <w:t xml:space="preserve"> flag and country code picker (default: viewer’s country), then the number; example shown in the country’s format. On phones the country list opens as a bottom sheet with a search box. Used in other modules’ forms (e.g. M02 sign-up, M03 business contacts).</w:t>
      </w:r>
    </w:p>
    <w:p>
      <w:pPr>
        <w:pStyle w:val="ListParagraph"/>
        <w:numPr>
          <w:ilvl w:val="0"/>
          <w:numId w:val="2"/>
        </w:numPr>
        <w:spacing w:after="60" w:line="264"/>
      </w:pPr>
      <w:r>
        <w:rPr>
          <w:b/>
          <w:bCs/>
        </w:rPr>
        <w:t xml:space="preserve">Address form (M01-S11):</w:t>
      </w:r>
      <w:r>
        <w:t xml:space="preserve"> fields change with the country (e.g. PIN code, State and District for India; Emirate and P.O. Box for UAE); State and District lists come from the Country table. Used in other modules’ forms (e.g. M03 business locations).</w:t>
      </w:r>
    </w:p>
    <w:p>
      <w:pPr>
        <w:pStyle w:val="Heading2"/>
      </w:pPr>
      <w:bookmarkStart w:name="h9" w:id="9"/>
      <w:r>
        <w:t xml:space="preserve">7.1 Account → Preferences (M01-S09)</w:t>
      </w:r>
      <w:bookmarkEnd w:id="9"/>
    </w:p>
    <w:p>
      <w:pPr>
        <w:spacing w:after="120" w:line="276"/>
      </w:pPr>
      <w:r>
        <w:t xml:space="preserve">Page at /account/preferences for signed-in users. Fields: </w:t>
      </w:r>
      <w:r>
        <w:rPr>
          <w:b/>
          <w:bCs/>
        </w:rPr>
        <w:t xml:space="preserve">Language</w:t>
      </w:r>
      <w:r>
        <w:t xml:space="preserve"> · </w:t>
      </w:r>
      <w:r>
        <w:rPr>
          <w:b/>
          <w:bCs/>
        </w:rPr>
        <w:t xml:space="preserve">Number format</w:t>
      </w:r>
      <w:r>
        <w:t xml:space="preserve"> (Indian or international) · </w:t>
      </w:r>
      <w:r>
        <w:rPr>
          <w:b/>
          <w:bCs/>
        </w:rPr>
        <w:t xml:space="preserve">Guide currency</w:t>
      </w:r>
      <w:r>
        <w:t xml:space="preserve"> (e.g. AED, or “Don’t show”) · </w:t>
      </w:r>
      <w:r>
        <w:rPr>
          <w:b/>
          <w:bCs/>
        </w:rPr>
        <w:t xml:space="preserve">Time zone</w:t>
      </w:r>
      <w:r>
        <w:t xml:space="preserve">. Each change saves at once: “Saved.” A time zone the user chooses is never replaced automatically. Visitors choose language, number format and guide currency in the footer; the choice is remembered on this device without tracking. Error: “We couldn’t save your preferences. Try again.”</w:t>
      </w:r>
    </w:p>
    <w:p>
      <w:pPr>
        <w:pStyle w:val="Heading1"/>
        <w:spacing w:after="200" w:before="360"/>
      </w:pPr>
      <w:bookmarkStart w:name="h10" w:id="10"/>
      <w:r>
        <w:t xml:space="preserve">8. Cookie Banner (M01-S05)</w:t>
      </w:r>
      <w:bookmarkEnd w:id="10"/>
    </w:p>
    <w:p>
      <w:pPr>
        <w:spacing w:after="60" w:before="120"/>
        <w:jc w:val="center"/>
      </w:pPr>
      <w:r>
        <w:drawing>
          <wp:inline distT="0" distB="0" distL="0" distR="0">
            <wp:extent cx="2857500" cy="3448050"/>
            <wp:effectExtent t="0" r="0" b="0" l="0"/>
            <wp:docPr id="1" name="m01_flow_consent" descr="Cookie consent behaviour" title="Cookie consent behavi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2857500" cy="3448050"/>
                    </a:xfrm>
                    <a:prstGeom prst="rect">
                      <a:avLst/>
                    </a:prstGeom>
                  </pic:spPr>
                </pic:pic>
              </a:graphicData>
            </a:graphic>
          </wp:inline>
        </w:drawing>
      </w:r>
    </w:p>
    <w:p>
      <w:pPr>
        <w:spacing w:after="200"/>
        <w:jc w:val="center"/>
      </w:pPr>
      <w:r>
        <w:rPr>
          <w:i/>
          <w:iCs/>
          <w:color w:val="6B6B6B"/>
          <w:sz w:val="18"/>
          <w:szCs w:val="18"/>
        </w:rPr>
        <w:t xml:space="preserve">Figure 1 — Cookie consent behaviour</w:t>
      </w:r>
    </w:p>
    <w:p>
      <w:pPr>
        <w:pStyle w:val="ListParagraph"/>
        <w:numPr>
          <w:ilvl w:val="0"/>
          <w:numId w:val="2"/>
        </w:numPr>
        <w:spacing w:after="60" w:line="264"/>
      </w:pPr>
      <w:r>
        <w:t xml:space="preserve">Position: bottom bar (desktop), bottom sheet (mobile). Does not block browsing.</w:t>
      </w:r>
    </w:p>
    <w:p>
      <w:pPr>
        <w:pStyle w:val="ListParagraph"/>
        <w:numPr>
          <w:ilvl w:val="0"/>
          <w:numId w:val="2"/>
        </w:numPr>
        <w:spacing w:after="60" w:line="264"/>
      </w:pPr>
      <w:r>
        <w:t xml:space="preserve">Text: “We use essential cookies to run OudhTrade. With your permission, we’d also like to use analytics and marketing cookies to improve the site and our ads.”</w:t>
      </w:r>
    </w:p>
    <w:p>
      <w:pPr>
        <w:pStyle w:val="ListParagraph"/>
        <w:numPr>
          <w:ilvl w:val="0"/>
          <w:numId w:val="2"/>
        </w:numPr>
        <w:spacing w:after="60" w:line="264"/>
      </w:pPr>
      <w:r>
        <w:t xml:space="preserve">Buttons of equal size and style: </w:t>
      </w:r>
      <w:r>
        <w:rPr>
          <w:b/>
          <w:bCs/>
        </w:rPr>
        <w:t xml:space="preserve">Accept all</w:t>
      </w:r>
      <w:r>
        <w:t xml:space="preserve"> · </w:t>
      </w:r>
      <w:r>
        <w:rPr>
          <w:b/>
          <w:bCs/>
        </w:rPr>
        <w:t xml:space="preserve">Reject all</w:t>
      </w:r>
      <w:r>
        <w:t xml:space="preserve"> · </w:t>
      </w:r>
      <w:r>
        <w:rPr>
          <w:b/>
          <w:bCs/>
        </w:rPr>
        <w:t xml:space="preserve">Choose</w:t>
      </w:r>
      <w:r>
        <w:t xml:space="preserve">.</w:t>
      </w:r>
    </w:p>
    <w:p>
      <w:pPr>
        <w:pStyle w:val="ListParagraph"/>
        <w:numPr>
          <w:ilvl w:val="0"/>
          <w:numId w:val="2"/>
        </w:numPr>
        <w:spacing w:after="60" w:line="264"/>
      </w:pPr>
      <w:r>
        <w:t xml:space="preserve">Choose panel: Essential (always on, explained) · Analytics (toggle) · Marketing (toggle) · Save choices. Link to Cookie Policy.</w:t>
      </w:r>
    </w:p>
    <w:p>
      <w:pPr>
        <w:pStyle w:val="Heading1"/>
        <w:spacing w:after="200" w:before="360"/>
      </w:pPr>
      <w:bookmarkStart w:name="h11" w:id="11"/>
      <w:r>
        <w:t xml:space="preserve">9. My Account Activity (M01-S06)</w:t>
      </w:r>
      <w:bookmarkEnd w:id="11"/>
    </w:p>
    <w:p>
      <w:pPr>
        <w:spacing w:after="120" w:line="276"/>
      </w:pPr>
      <w:r>
        <w:t xml:space="preserve">Page in Account → Security → “Account activity”, showing the user’s own audit subset, newest first, with filters (sign-ins, changes, document views, agent 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Example row</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Shown as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Sign-in</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“Signed in from Chrome on Android, Guwahati, IN — 24 Sep 2026, 9:14 AM”</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Change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“Phone number changed — 20 Sep 2026”</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 view</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“Your GST certificate was viewed by OudhTrade verification team — 18 Sep 2026”</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Agent action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“Field agent R. Das updated listing ‘Agarwood chips A grade’ — 12 Oct 2026”</w:t>
            </w:r>
          </w:p>
        </w:tc>
      </w:tr>
    </w:tbl>
    <w:p>
      <w:pPr>
        <w:spacing w:after="120"/>
      </w:pPr>
    </w:p>
    <w:p>
      <w:pPr>
        <w:spacing w:after="120" w:line="276"/>
      </w:pPr>
      <w:r>
        <w:t xml:space="preserve">Link at the bottom: “Something looks wrong? Secure your account” (goes to password change and sign out of all devices).</w:t>
      </w:r>
    </w:p>
    <w:p>
      <w:pPr>
        <w:pStyle w:val="Heading1"/>
        <w:spacing w:after="200" w:before="360"/>
      </w:pPr>
      <w:bookmarkStart w:name="h12" w:id="12"/>
      <w:r>
        <w:t xml:space="preserve">10. Error and Status Pages (M01-S07)</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tblHeader/>
        </w:trPr>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Page</w:t>
            </w:r>
          </w:p>
        </w:tc>
        <w:tc>
          <w:tcPr>
            <w:tcW w:type="dxa" w:w="790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Headline and actions</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404</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 couldn’t find that page.” Search box · Browse categories · Help centre</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500</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“Something went wrong on our side.” Try again · Help centre · “Reference: &lt;request ID&gt;”</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Maintenance</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 is being updated.” “Expected back: {time}” in the user’s time zone, from the setting maintenance.expected_back_at (no line when it is empty). Shown on every page while full maintenance is on (M01-2 CFG-012, API-009); it comes from the CDN, so it also shows while the system is down.</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Read-only banner</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While read-only maintenance is on, a bar at the top of every page: “OudhTrade is in read-only mode until {time}. You can look around, but changes are paused.” (without “until {time}” when no expected-back time is set). Buttons that change something stay visible; pressing one shows the same message and keeps what the user typed.</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Planned-maintenance notice</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From maintenance.notice_hours before an approved planned maintenance (48 hours by default, PRD-NFR-003), a bar at the top of every page: “Planned maintenance on {date} at {time} ({duration}). OudhTrade will be closed during this time.” (read-only: “OudhTrade will be read-only during this time.”). It can be closed with ×; it shows again on the next visit.</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Offline</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“You’re offline. We’ll retry when you’re connected.”</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Too many requests</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“You’re doing this too often. Please try again in {time}.” The time is the real wait from the rate limit (M01-3 Section 10) and counts down, e.g. “2 minutes”.</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Blocked country</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isn’t available in your country.” Link to Terms.</w:t>
            </w:r>
          </w:p>
        </w:tc>
      </w:tr>
    </w:tbl>
    <w:p>
      <w:pPr>
        <w:spacing w:after="120"/>
      </w:pPr>
    </w:p>
    <w:p>
      <w:pPr>
        <w:spacing w:after="120" w:line="276"/>
      </w:pPr>
      <w:r>
        <w:t xml:space="preserve">404, 500 and maintenance pages show “Check service status” linking to status.oudhtrade.com.</w:t>
      </w:r>
    </w:p>
    <w:p>
      <w:pPr>
        <w:pStyle w:val="Heading2"/>
      </w:pPr>
      <w:bookmarkStart w:name="h13" w:id="13"/>
      <w:r>
        <w:t xml:space="preserve">10.1 Report a security issue page (M01-S08)</w:t>
      </w:r>
      <w:bookmarkEnd w:id="13"/>
    </w:p>
    <w:p>
      <w:pPr>
        <w:spacing w:after="120" w:line="276"/>
      </w:pPr>
      <w:r>
        <w:t xml:space="preserve">Public page at /report-security-issue, live from R1 (M01-2 SEC-010), linked from /.well-known/security.txt and the footer. No sign-in needed. Content comes from the translation store (security_page.*), written by M17 and published by Module 1: what to report (a weakness in OudhTrade, not a problem with a listing or a person), how to report (the security contact email from security.txt), what to include, what not to do (no testing on other people’s accounts or data), when we reply, and a link to report abuse or a listing instead. The page has no form and stores nothing.</w:t>
      </w:r>
    </w:p>
    <w:p>
      <w:pPr>
        <w:pStyle w:val="Heading1"/>
        <w:spacing w:after="200" w:before="360"/>
      </w:pPr>
      <w:bookmarkStart w:name="h14" w:id="14"/>
      <w:r>
        <w:t xml:space="preserve">11. Accessibility</w:t>
      </w:r>
      <w:bookmarkEnd w:id="14"/>
    </w:p>
    <w:p>
      <w:pPr>
        <w:spacing w:after="120" w:line="276"/>
      </w:pPr>
      <w:r>
        <w:t xml:space="preserve">Every Module 1 screen passes the WCAG 2.2 AA checklist in the UX/UI Foundation, Section 11. Module 1 points:</w:t>
      </w:r>
    </w:p>
    <w:p>
      <w:pPr>
        <w:pStyle w:val="ListParagraph"/>
        <w:numPr>
          <w:ilvl w:val="0"/>
          <w:numId w:val="2"/>
        </w:numPr>
        <w:spacing w:after="60" w:line="264"/>
      </w:pPr>
      <w:r>
        <w:t xml:space="preserve">Contrast ratio ≥ 4.5:1 for text; focus outline on all controls; all actions possible by keyboard.</w:t>
      </w:r>
    </w:p>
    <w:p>
      <w:pPr>
        <w:pStyle w:val="ListParagraph"/>
        <w:numPr>
          <w:ilvl w:val="0"/>
          <w:numId w:val="2"/>
        </w:numPr>
        <w:spacing w:after="60" w:line="264"/>
      </w:pPr>
      <w:r>
        <w:t xml:space="preserve">Upload progress and status changes announced to screen readers.</w:t>
      </w:r>
    </w:p>
    <w:p>
      <w:pPr>
        <w:pStyle w:val="ListParagraph"/>
        <w:numPr>
          <w:ilvl w:val="0"/>
          <w:numId w:val="2"/>
        </w:numPr>
        <w:spacing w:after="60" w:line="264"/>
      </w:pPr>
      <w:r>
        <w:t xml:space="preserve">On touch screens, targets at least 44 × 44 px (48 × 48 px in farmer simple mode); the 44 px rule applies to touch screens only — staff tables on the desktop Admin app use compact rows about 40 px high. No information by colour alone (status chips also have text).</w:t>
      </w:r>
    </w:p>
    <w:p>
      <w:pPr>
        <w:pStyle w:val="ListParagraph"/>
        <w:numPr>
          <w:ilvl w:val="0"/>
          <w:numId w:val="2"/>
        </w:numPr>
        <w:spacing w:after="60" w:line="264"/>
      </w:pPr>
      <w:r>
        <w:t xml:space="preserve">Photo reordering by drag always has button alternatives (“Move left”, “Move right”, “Make cover”); the focused item is never hidden behind the cookie banner.</w:t>
      </w:r>
    </w:p>
    <w:p>
      <w:pPr>
        <w:pStyle w:val="Heading1"/>
        <w:spacing w:after="200" w:before="360"/>
      </w:pPr>
      <w:bookmarkStart w:name="h15" w:id="15"/>
      <w:r>
        <w:t xml:space="preserve">12. Staff and Settings Screens</w:t>
      </w:r>
      <w:bookmarkEnd w:id="15"/>
    </w:p>
    <w:p>
      <w:pPr>
        <w:spacing w:after="120" w:line="276"/>
      </w:pPr>
      <w:r>
        <w:t xml:space="preserve">This section specifies the staff screens and settings screens of Module 1. All of them are built in the </w:t>
      </w:r>
      <w:r>
        <w:rPr>
          <w:b/>
          <w:bCs/>
        </w:rPr>
        <w:t xml:space="preserve">one console shell</w:t>
      </w:r>
      <w:r>
        <w:t xml:space="preserve"> shared by the Operations Console (M15) and the Configuration Console (M16): staff screens (Sections 12.9, 12.10, 12.11, 12.14 and 12.16) under /admin/…, settings screens (Sections 12.2–12.8, 12.12, 12.13 and 12.15) in the Settings menu group under /admin/settings/…. The shell gives the navigation and staff sign-in; the list of changes waiting for approval is the Changes / approvals screen of Module 16 (M16-AD-01, Section 12.1). Each module sets what its own screens show and allow; every module’s settings screens use the common settings pattern in Section 12.1. When each screen is built is decided by the team; this specification is complete for every release.</w:t>
      </w:r>
    </w:p>
    <w:p>
      <w:pPr>
        <w:spacing w:after="120" w:line="276"/>
      </w:pPr>
      <w:r>
        <w:t xml:space="preserve">Screen codes (M01-AD-nn, and M01-Snn for the user screens in Sections 3–10) follow Cross-Module Standards, Section 3. The short name of each screen in the side menu and breadcrumb is its menu label in the register (Cross-Module Standards, Section 4.2); M01-AD-13 is a panel, not a menu item. The tabs of each screen and their names are listed in the register (sheet Tabs; rule in Cross-Module Standards, Section 4.2): a settings screen whose section below names no tabs shows its menu label and History. One console shell, light mode only, compact tables (Cross-Module Standards, Section 4).</w:t>
      </w:r>
    </w:p>
    <w:p>
      <w:pPr>
        <w:spacing w:after="120" w:line="276"/>
      </w:pPr>
      <w:r>
        <w:t xml:space="preserve">All staff screens follow the UX/UI Foundation (desktop-first, WCAG 2.2 AA, Section 11 above). Staff sign in to the staff area with two-step sign-in (M02). Every screen shows only what the staff member’s role allows; a hidden action is not shown at all, rather than shown and refused.</w:t>
      </w:r>
    </w:p>
    <w:p>
      <w:pPr>
        <w:spacing w:after="120" w:line="276"/>
      </w:pPr>
      <w:r>
        <w:t xml:space="preserve">The role and permission table for these screens is kept in the admin register (Cross-Module Registers, sheet Permissions; Cross-Module Standards Section 4). Each screen’s “Who can use it” row describes the behaviour.</w:t>
      </w:r>
    </w:p>
    <w:p>
      <w:pPr>
        <w:pStyle w:val="Heading2"/>
      </w:pPr>
      <w:bookmarkStart w:name="h16" w:id="16"/>
      <w:r>
        <w:t xml:space="preserve">12.1 Common settings pattern</w:t>
      </w:r>
      <w:bookmarkEnd w:id="16"/>
    </w:p>
    <w:p>
      <w:pPr>
        <w:spacing w:after="120" w:line="276"/>
      </w:pPr>
      <w:r>
        <w:t xml:space="preserve">Every module’s settings screens work the same way, so staff learn one way of changing settings. The pattern rests on M01-2 CFG-005 to CFG-009 and ENV-008.</w:t>
      </w:r>
    </w:p>
    <w:p>
      <w:pPr>
        <w:spacing w:after="120" w:line="276"/>
      </w:pPr>
      <w:r>
        <w:rPr>
          <w:b/>
          <w:bCs/>
        </w:rPr>
        <w:t xml:space="preserve">Who approves — one rule for every module.</w:t>
      </w:r>
      <w:r>
        <w:t xml:space="preserve"> Every change needs a second person, and the editor never approves their own change. There are two levels: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783"/>
        <w:gridCol w:w="2313"/>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Level</w:t>
            </w:r>
          </w:p>
        </w:tc>
        <w:tc>
          <w:tcPr>
            <w:tcW w:type="dxa" w:w="578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Which settings</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Who approves</w:t>
            </w:r>
          </w:p>
        </w:tc>
      </w:tr>
      <w:tr>
        <w:trPr>
          <w:cantSplit/>
        </w:trPr>
        <w:tc>
          <w:tcPr>
            <w:tcW w:type="dxa" w:w="1542"/>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High impact</w:t>
            </w:r>
          </w:p>
        </w:tc>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Trust and ranking weights · prices · limits (including daily OTP cost caps) · permissions · compliance rules (including retention periods and the blocked-country list) · legal texts · production feature switches · document checklists · business ID rules · badge types · role change paths · rate limits · AI budgets · Country table features (country status, allowed features and sign-in settings).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Super Admin who is not the editor.</w:t>
            </w:r>
          </w:p>
        </w:tc>
      </w:tr>
      <w:tr>
        <w:trPr>
          <w:cantSplit/>
        </w:trPr>
        <w:tc>
          <w:tcPr>
            <w:tcW w:type="dxa" w:w="1542"/>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Other</w:t>
            </w:r>
          </w:p>
        </w:tc>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 other settings, for example rejection reason texts, setup card items, capability bands, the holiday calendar, reserved names, translations of texts, units and conversion factors, simple lists, and feature switches outside production.</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Any other Admin (or Super Admin) who is not the editor.</w:t>
            </w:r>
          </w:p>
        </w:tc>
      </w:tr>
    </w:tbl>
    <w:p>
      <w:pPr>
        <w:spacing w:after="120"/>
      </w:pPr>
    </w:p>
    <w:p>
      <w:pPr>
        <w:spacing w:after="120" w:line="276"/>
      </w:pPr>
      <w:r>
        <w:t xml:space="preserve">Only settings in the settings register exist (Cross-Module Registers, sheet Settings; Module 1’s list is M01-2 Section 18), and each has its level there, which the screen shows as a tag. A new setting is added to the register with its level when it is designed. Rollbacks and imports from staging use the same rule. Other documents point to this section and do not repeat the rule.</w:t>
      </w:r>
    </w:p>
    <w:p>
      <w:pPr>
        <w:spacing w:after="120" w:line="276"/>
      </w:pPr>
      <w:r>
        <w:rPr>
          <w:b/>
          <w:bCs/>
        </w:rPr>
        <w:t xml:space="preserve">Emergency path (M01-2 CFG-010).</w:t>
      </w:r>
      <w:r>
        <w:t xml:space="preserve"> One Super Admin, or the on-call engineer (permission settings.emergency_off), can at once switch a production feature OFF or turn under-attack mode ON, without waiting for approval. The button </w:t>
      </w:r>
      <w:r>
        <w:rPr>
          <w:b/>
          <w:bCs/>
        </w:rPr>
        <w:t xml:space="preserve">Emergency off</w:t>
      </w:r>
      <w:r>
        <w:t xml:space="preserve"> (or </w:t>
      </w:r>
      <w:r>
        <w:rPr>
          <w:b/>
          <w:bCs/>
        </w:rPr>
        <w:t xml:space="preserve">Turn on under-attack mode</w:t>
      </w:r>
      <w:r>
        <w:t xml:space="preserve">) asks: “Why is this an emergency?” (required). The change is live at once, is audited and alerts all Super Admins. A second Super Admin must review it within 24 hours; until then the item shows the chip “Emergency change — review due by {time}”. The review is done on the Changes screen (M16-AD-01, below): the change is listed under </w:t>
      </w:r>
      <w:r>
        <w:rPr>
          <w:b/>
          <w:bCs/>
        </w:rPr>
        <w:t xml:space="preserve">Waiting for my approval</w:t>
      </w:r>
      <w:r>
        <w:t xml:space="preserve"> for every Super Admin except the one who made it, with the same chip and two actions — </w:t>
      </w:r>
      <w:r>
        <w:rPr>
          <w:b/>
          <w:bCs/>
        </w:rPr>
        <w:t xml:space="preserve">Confirm</w:t>
      </w:r>
      <w:r>
        <w:t xml:space="preserve"> (reason required) or </w:t>
      </w:r>
      <w:r>
        <w:rPr>
          <w:b/>
          <w:bCs/>
        </w:rPr>
        <w:t xml:space="preserve">Open follow-up draft</w:t>
      </w:r>
      <w:r>
        <w:t xml:space="preserve"> (a normal draft that goes through the steps below). Turning the feature back ON, or under-attack mode OFF, uses the normal steps below. Maintenance mode has its own rule: only a Super Admin may start it at once, and one Super Admin may end it at once (Section 12.3; M01-2 CFG-012).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tblHeader/>
        </w:trPr>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790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staff member sees and does</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1. List</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Table of the items of this screen (settings, countries, names, dates…), with search and filters. Each row shows the current published value and a chip when a change is waiting (“Waiting for approval”, “Scheduled for {date time}”).</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2. Edit draft</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Edit opens a draft; the live value does not change. Each field is checked as the staff member types (type, allowed range, required). Error text under the field, e.g. “Enter a number between 1 and 20.” The draft can be saved and finished later.</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3. Preview impact</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Button </w:t>
            </w:r>
            <w:r>
              <w:rPr>
                <w:sz w:val="19"/>
                <w:szCs w:val="19"/>
              </w:rPr>
              <w:t xml:space="preserve">Preview impact</w:t>
            </w:r>
            <w:r>
              <w:rPr>
                <w:sz w:val="19"/>
                <w:szCs w:val="19"/>
              </w:rPr>
              <w:t xml:space="preserve"> (required before sending). The preview shows: </w:t>
            </w:r>
            <w:r>
              <w:rPr>
                <w:sz w:val="19"/>
                <w:szCs w:val="19"/>
              </w:rPr>
              <w:t xml:space="preserve">What changes</w:t>
            </w:r>
            <w:r>
              <w:rPr>
                <w:sz w:val="19"/>
                <w:szCs w:val="19"/>
              </w:rPr>
              <w:t xml:space="preserve"> — each old value → new value, with its scope (global, country, category, plan, role or account list); </w:t>
            </w:r>
            <w:r>
              <w:rPr>
                <w:sz w:val="19"/>
                <w:szCs w:val="19"/>
              </w:rPr>
              <w:t xml:space="preserve">Who is affected</w:t>
            </w:r>
            <w:r>
              <w:rPr>
                <w:sz w:val="19"/>
                <w:szCs w:val="19"/>
              </w:rPr>
              <w:t xml:space="preserve"> — counts where they can be worked out, e.g. “About 1,240 sellers in India on the free plan”, “38 open review timers move”; </w:t>
            </w:r>
            <w:r>
              <w:rPr>
                <w:sz w:val="19"/>
                <w:szCs w:val="19"/>
              </w:rPr>
              <w:t xml:space="preserve">Example</w:t>
            </w:r>
            <w:r>
              <w:rPr>
                <w:sz w:val="19"/>
                <w:szCs w:val="19"/>
              </w:rPr>
              <w:t xml:space="preserve"> — one worked case, e.g. “A free-plan seller in India: photos per listing 10 → 12”. If a count cannot be worked out: “Impact can’t be counted for this setting — see the example.” A figure whose data source does not exist yet (e.g. a share of yesterday’s requests before any traffic is recorded) shows “shown when data is available”. (CFG-008)</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4. Send for approval</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reason is required: “Why are you making this change?” The draft shows the chip “High impact” when it touches a high-impact setting (list above).</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5. Approve</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second person approves, as in “Who approves” above: a Super Admin who is not the editor for a high-impact change; any other Admin who is not the editor for other changes. The approver sees the same preview, refreshed: “Preview updated {time}”. Approve or Reject, both with a reason. The editor sees no Approve button on their own change: “You made this change, so another person must approve it.” An Admin who opens a high-impact change sees: “This change is high impact. A Super Admin must approve it.”</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6. Publish</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After approval: </w:t>
            </w:r>
            <w:r>
              <w:rPr>
                <w:sz w:val="19"/>
                <w:szCs w:val="19"/>
              </w:rPr>
              <w:t xml:space="preserve">Publish now</w:t>
            </w:r>
            <w:r>
              <w:rPr>
                <w:sz w:val="19"/>
                <w:szCs w:val="19"/>
              </w:rPr>
              <w:t xml:space="preserve"> or </w:t>
            </w:r>
            <w:r>
              <w:rPr>
                <w:sz w:val="19"/>
                <w:szCs w:val="19"/>
              </w:rPr>
              <w:t xml:space="preserve">Schedule</w:t>
            </w:r>
            <w:r>
              <w:rPr>
                <w:sz w:val="19"/>
                <w:szCs w:val="19"/>
              </w:rPr>
              <w:t xml:space="preserve"> (date and time, shown in IST and in the staff member’s time zone). A scheduled change can be cancelled, with a reason, until it runs: “Scheduled for 1 Oct 2026, 9:00 AM IST. You can cancel it until then.” After publishing: “Published. Version {n} is live. All services use it within 60 seconds.” (CFG-001, CFG-009)</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7. Version history</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Tab </w:t>
            </w:r>
            <w:r>
              <w:rPr>
                <w:sz w:val="19"/>
                <w:szCs w:val="19"/>
              </w:rPr>
              <w:t xml:space="preserve">History</w:t>
            </w:r>
            <w:r>
              <w:rPr>
                <w:sz w:val="19"/>
                <w:szCs w:val="19"/>
              </w:rPr>
              <w:t xml:space="preserve"> on every screen: each version with number, status (draft, waiting for approval, approved, scheduled, published, rejected, cancelled, rolled back), who made it, who sent it and when, who approved or rejected it and when, who cancelled it and when, who published it and when, and the reasons. Select a version to </w:t>
            </w:r>
            <w:r>
              <w:rPr>
                <w:sz w:val="19"/>
                <w:szCs w:val="19"/>
              </w:rPr>
              <w:t xml:space="preserve">Compare</w:t>
            </w:r>
            <w:r>
              <w:rPr>
                <w:sz w:val="19"/>
                <w:szCs w:val="19"/>
              </w:rPr>
              <w:t xml:space="preserve"> it with the one before: old and new values side by side.</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8. Roll back</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 any earlier version: </w:t>
            </w:r>
            <w:r>
              <w:rPr>
                <w:sz w:val="19"/>
                <w:szCs w:val="19"/>
              </w:rPr>
              <w:t xml:space="preserve">Roll back to this version</w:t>
            </w:r>
            <w:r>
              <w:rPr>
                <w:sz w:val="19"/>
                <w:szCs w:val="19"/>
              </w:rPr>
              <w:t xml:space="preserve">. Confirm box: “Roll back to version {n}? This makes a new draft that needs approval like any other change.” The rollback goes through steps 3–6, approved as in “Who approves” above, and is published as a new version. (CFG-009)</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9. Audit</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step — draft saved, preview, send, approve, reject, publish, schedule, cancel, roll back, import — is written to the audit log with who, when, before and after values and the reason (AUD-001).</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10. Edit conflict</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If someone else saved the same item after it was opened, the save is refused and a banner shows: “Changed by someone else — please reload.” Button </w:t>
            </w:r>
            <w:r>
              <w:rPr>
                <w:sz w:val="19"/>
                <w:szCs w:val="19"/>
              </w:rPr>
              <w:t xml:space="preserve">Reload</w:t>
            </w:r>
            <w:r>
              <w:rPr>
                <w:sz w:val="19"/>
                <w:szCs w:val="19"/>
              </w:rPr>
              <w:t xml:space="preserve">; the staff member’s unsaved values are shown next to the new values so nothing typed is lost. (CFG-007)</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11. Staging first</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Changes are made and checked in staging first. </w:t>
            </w:r>
            <w:r>
              <w:rPr>
                <w:sz w:val="19"/>
                <w:szCs w:val="19"/>
              </w:rPr>
              <w:t xml:space="preserve">Export</w:t>
            </w:r>
            <w:r>
              <w:rPr>
                <w:sz w:val="19"/>
                <w:szCs w:val="19"/>
              </w:rPr>
              <w:t xml:space="preserve"> (staging) makes a file of a published version; </w:t>
            </w:r>
            <w:r>
              <w:rPr>
                <w:sz w:val="19"/>
                <w:szCs w:val="19"/>
              </w:rPr>
              <w:t xml:space="preserve">Import</w:t>
            </w:r>
            <w:r>
              <w:rPr>
                <w:sz w:val="19"/>
                <w:szCs w:val="19"/>
              </w:rPr>
              <w:t xml:space="preserve"> (production) loads it as a draft with its preview: “Imported from staging as a draft. Check the preview and send it for approval.” The import uses the same approval steps (5–6) as any other change (ENV-008, CFG-006).</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 moves</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draft → waiting for approval → approved or rejected; approved → published, or approved → scheduled → published or cancelled; a published version becomes rolled back when a rollback version replaces it. Sending, approving, rejecting, cancelling and rolling back each need a reason. The same statuses are stored on the version (M01-5 Section 8.1) and used by the API (M01-3 Section 4.2).</w:t>
            </w:r>
          </w:p>
        </w:tc>
      </w:tr>
    </w:tbl>
    <w:p>
      <w:pPr>
        <w:spacing w:after="120"/>
      </w:pPr>
    </w:p>
    <w:p>
      <w:pPr>
        <w:spacing w:after="120" w:line="276"/>
      </w:pPr>
      <w:r>
        <w:rPr>
          <w:b/>
          <w:bCs/>
        </w:rPr>
        <w:t xml:space="preserve">Changes / approvals screen (M16-AD-01).</w:t>
      </w:r>
      <w:r>
        <w:t xml:space="preserve"> The screen that lists changes waiting for approval belongs to the Configuration Console (Module 16) and is built there; the rule it follows (who approves, and the steps above) stays in this section, the single source of the approval levels. Until Module 16 is written, it works as follows: four tabs — </w:t>
      </w:r>
      <w:r>
        <w:rPr>
          <w:b/>
          <w:bCs/>
        </w:rPr>
        <w:t xml:space="preserve">Waiting for my approval</w:t>
      </w:r>
      <w:r>
        <w:t xml:space="preserve">, </w:t>
      </w:r>
      <w:r>
        <w:rPr>
          <w:b/>
          <w:bCs/>
        </w:rPr>
        <w:t xml:space="preserve">My drafts</w:t>
      </w:r>
      <w:r>
        <w:t xml:space="preserve"> (my own drafts and changes I sent, with their status), </w:t>
      </w:r>
      <w:r>
        <w:rPr>
          <w:b/>
          <w:bCs/>
        </w:rPr>
        <w:t xml:space="preserve">Scheduled</w:t>
      </w:r>
      <w:r>
        <w:t xml:space="preserve"> and </w:t>
      </w:r>
      <w:r>
        <w:rPr>
          <w:b/>
          <w:bCs/>
        </w:rPr>
        <w:t xml:space="preserve">Recent</w:t>
      </w:r>
      <w:r>
        <w:t xml:space="preserve"> (last 90 days) — across all modules, each row with module, screen, item, editor, “High impact” chip and age; emergency changes waiting for their second review show the chip “Emergency — review due by {time}” with Confirm and Open follow-up draft (see Emergency path above). Super Admin and Admin see all four tabs; Finance sees only </w:t>
      </w:r>
      <w:r>
        <w:rPr>
          <w:b/>
          <w:bCs/>
        </w:rPr>
        <w:t xml:space="preserve">My drafts</w:t>
      </w:r>
      <w:r>
        <w:t xml:space="preserve">. Empty state: “No changes are waiting for your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staff member sees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Loading</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Skeleton rows; the table keeps its layout.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list</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Short text for the screen, e.g. “No reserved names yet. Add the first one.” and the main action button (hidden for view-only roles).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Not allowed</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 don’t have access to this screen. Ask a Super Admin if you need it.”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Validation error</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Message under each wrong field; </w:t>
            </w:r>
            <w:r>
              <w:rPr>
                <w:sz w:val="19"/>
                <w:szCs w:val="19"/>
              </w:rPr>
              <w:t xml:space="preserve">Preview impact</w:t>
            </w:r>
            <w:r>
              <w:rPr>
                <w:sz w:val="19"/>
                <w:szCs w:val="19"/>
              </w:rPr>
              <w:t xml:space="preserve"> stays disabled until all fields are valid.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Server error</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 couldn’t save this change. Try again. Reference: {request ID}.” The draft is kept.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Publish failed</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“Publishing failed — the live settings did not change. Try again. Reference: {request ID}.” The approved draft stays approved.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Rejected</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Chip “Not approved” with the approver’s reason; the draft goes back to the editor.</w:t>
            </w:r>
          </w:p>
        </w:tc>
      </w:tr>
    </w:tbl>
    <w:p>
      <w:pPr>
        <w:spacing w:after="120"/>
      </w:pPr>
    </w:p>
    <w:p>
      <w:pPr>
        <w:pStyle w:val="Heading2"/>
      </w:pPr>
      <w:bookmarkStart w:name="h17" w:id="17"/>
      <w:r>
        <w:t xml:space="preserve">12.2 Settings editor (M01-AD-01)</w:t>
      </w:r>
      <w:bookmarkEnd w:id="17"/>
    </w:p>
    <w:p>
      <w:pPr>
        <w:spacing w:after="120" w:line="276"/>
      </w:pPr>
      <w:r>
        <w:t xml:space="preserve">One screen for the general values of all modules (numbers, time windows, texts, on/off values) that do not have a screen of their own. Route and parts: M01-4 Section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Specification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and Admin: edit (Section 12.1). Moderator, Finance, Content Editor, Support: view only.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it shows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Settings from the settings register only, grouped by module (M01 Platform, M02 Identity…), with a search box (name, key or description). Each row: name (register column Name, e.g. “Largest photo”), key (e.g. files.photo.max_mb), current value, default value (from code), allowed values, number of overrides, one-line description (register column What it controls), and the level tag from the register (“High impact” or none).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Edit value</w:t>
            </w:r>
            <w:r>
              <w:rPr>
                <w:sz w:val="19"/>
                <w:szCs w:val="19"/>
              </w:rPr>
              <w:t xml:space="preserve"> · </w:t>
            </w:r>
            <w:r>
              <w:rPr>
                <w:sz w:val="19"/>
                <w:szCs w:val="19"/>
              </w:rPr>
              <w:t xml:space="preserve">Add override</w:t>
            </w:r>
            <w:r>
              <w:rPr>
                <w:sz w:val="19"/>
                <w:szCs w:val="19"/>
              </w:rPr>
              <w:t xml:space="preserve"> (by account list, role, plan, category or country; CFG-004) · </w:t>
            </w:r>
            <w:r>
              <w:rPr>
                <w:sz w:val="19"/>
                <w:szCs w:val="19"/>
              </w:rPr>
              <w:t xml:space="preserve">Remove override</w:t>
            </w:r>
            <w:r>
              <w:rPr>
                <w:sz w:val="19"/>
                <w:szCs w:val="19"/>
              </w:rPr>
              <w:t xml:space="preserve"> · </w:t>
            </w:r>
            <w:r>
              <w:rPr>
                <w:sz w:val="19"/>
                <w:szCs w:val="19"/>
              </w:rPr>
              <w:t xml:space="preserve">Preview impact</w:t>
            </w:r>
            <w:r>
              <w:rPr>
                <w:sz w:val="19"/>
                <w:szCs w:val="19"/>
              </w:rPr>
              <w:t xml:space="preserve"> · </w:t>
            </w:r>
            <w:r>
              <w:rPr>
                <w:sz w:val="19"/>
                <w:szCs w:val="19"/>
              </w:rPr>
              <w:t xml:space="preserve">Send for approval</w:t>
            </w:r>
            <w:r>
              <w:rPr>
                <w:sz w:val="19"/>
                <w:szCs w:val="19"/>
              </w:rPr>
              <w:t xml:space="preserve"> · </w:t>
            </w:r>
            <w:r>
              <w:rPr>
                <w:sz w:val="19"/>
                <w:szCs w:val="19"/>
              </w:rPr>
              <w:t xml:space="preserve">History</w:t>
            </w:r>
            <w:r>
              <w:rPr>
                <w:sz w:val="19"/>
                <w:szCs w:val="19"/>
              </w:rPr>
              <w:t xml:space="preserve">. The override panel lists each override with its scope and value, most specific first (CFG-005).</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“This setting is high impact. A Super Admin must approve the change.” · “Default: 15 MB. Current: 15 MB. 2 overrides.” · “An override for this scope already exists — edit it instead.”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search result: “No settings match ‘{text}’.”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 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Load failure: “We couldn’t load settings. Try again. Reference: {request ID}.” Value outside the allowed range: “Enter a value between {min} and {max}.”</w:t>
            </w:r>
          </w:p>
        </w:tc>
      </w:tr>
    </w:tbl>
    <w:p>
      <w:pPr>
        <w:spacing w:after="120"/>
      </w:pPr>
    </w:p>
    <w:p>
      <w:pPr>
        <w:pStyle w:val="Heading2"/>
      </w:pPr>
      <w:bookmarkStart w:name="h18" w:id="18"/>
      <w:r>
        <w:t xml:space="preserve">12.3 Feature switches and overrides (M01-AD-02)</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Specification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and Admin: edit. Moderator, Finance, Content Editor, Support: view only. Changing a production switch is high impact; switches in development and staging are “other” changes (Section 12.1). Emergency off: Super Admin or the on-call engineer (settings.emergency_off). Maintenance mode: Super Admin only (platform.maintenance; M01-2 CFG-012); other roles see its state only.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it shows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Each environment (development, staging, production) has its own console; this screen shows the switches of the environment you are in, with a banner naming it. List: name (e.g. messaging.full_chat), description, owner module and state; retired switches under a Retired filter. New switches come only with code releases (a developer adds them with their description and owner module), so the screen has no Add switch. Detail: targets and overrides — release, environment, role, plan, category, country, account list (CFG-003, CFG-004) — shown in the order that decides (account list → role → plan → category → country → global, CFG-005). Switches move to another environment by export / import (Section 12.1, step 11). At the top, the </w:t>
            </w:r>
            <w:r>
              <w:rPr>
                <w:sz w:val="19"/>
                <w:szCs w:val="19"/>
              </w:rPr>
              <w:t xml:space="preserve">Maintenance</w:t>
            </w:r>
            <w:r>
              <w:rPr>
                <w:sz w:val="19"/>
                <w:szCs w:val="19"/>
              </w:rPr>
              <w:t xml:space="preserve"> panel: state (Off · Full · Read-only · Planned for {date time}), expected back, who started or planned it and why.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Turn on / off</w:t>
            </w:r>
            <w:r>
              <w:rPr>
                <w:sz w:val="19"/>
                <w:szCs w:val="19"/>
              </w:rPr>
              <w:t xml:space="preserve"> · </w:t>
            </w:r>
            <w:r>
              <w:rPr>
                <w:sz w:val="19"/>
                <w:szCs w:val="19"/>
              </w:rPr>
              <w:t xml:space="preserve">Add target</w:t>
            </w:r>
            <w:r>
              <w:rPr>
                <w:sz w:val="19"/>
                <w:szCs w:val="19"/>
              </w:rPr>
              <w:t xml:space="preserve"> · </w:t>
            </w:r>
            <w:r>
              <w:rPr>
                <w:sz w:val="19"/>
                <w:szCs w:val="19"/>
              </w:rPr>
              <w:t xml:space="preserve">Add override</w:t>
            </w:r>
            <w:r>
              <w:rPr>
                <w:sz w:val="19"/>
                <w:szCs w:val="19"/>
              </w:rPr>
              <w:t xml:space="preserve"> · </w:t>
            </w:r>
            <w:r>
              <w:rPr>
                <w:sz w:val="19"/>
                <w:szCs w:val="19"/>
              </w:rPr>
              <w:t xml:space="preserve">Check an account</w:t>
            </w:r>
            <w:r>
              <w:rPr>
                <w:sz w:val="19"/>
                <w:szCs w:val="19"/>
              </w:rPr>
              <w:t xml:space="preserve"> (type an account ID to see whether the switch is on for it and which rule decided) · </w:t>
            </w:r>
            <w:r>
              <w:rPr>
                <w:sz w:val="19"/>
                <w:szCs w:val="19"/>
              </w:rPr>
              <w:t xml:space="preserve">Retire</w:t>
            </w:r>
            <w:r>
              <w:rPr>
                <w:sz w:val="19"/>
                <w:szCs w:val="19"/>
              </w:rPr>
              <w:t xml:space="preserve"> an unused switch (reason required; approved at the switch’s level; a retired switch is no longer read and shows as retired) · Preview impact · Send for approval · History. Production only: </w:t>
            </w:r>
            <w:r>
              <w:rPr>
                <w:sz w:val="19"/>
                <w:szCs w:val="19"/>
              </w:rPr>
              <w:t xml:space="preserve">Emergency off</w:t>
            </w:r>
            <w:r>
              <w:rPr>
                <w:sz w:val="19"/>
                <w:szCs w:val="19"/>
              </w:rPr>
              <w:t xml:space="preserve"> on a live feature and </w:t>
            </w:r>
            <w:r>
              <w:rPr>
                <w:sz w:val="19"/>
                <w:szCs w:val="19"/>
              </w:rPr>
              <w:t xml:space="preserve">Turn on under-attack mode</w:t>
            </w:r>
            <w:r>
              <w:rPr>
                <w:sz w:val="19"/>
                <w:szCs w:val="19"/>
              </w:rPr>
              <w:t xml:space="preserve"> (emergency path, Section 12.1). </w:t>
            </w:r>
            <w:r>
              <w:rPr>
                <w:sz w:val="19"/>
                <w:szCs w:val="19"/>
              </w:rPr>
              <w:t xml:space="preserve">Maintenance</w:t>
            </w:r>
            <w:r>
              <w:rPr>
                <w:sz w:val="19"/>
                <w:szCs w:val="19"/>
              </w:rPr>
              <w:t xml:space="preserve"> (Super Admin only): </w:t>
            </w:r>
            <w:r>
              <w:rPr>
                <w:sz w:val="19"/>
                <w:szCs w:val="19"/>
              </w:rPr>
              <w:t xml:space="preserve">Start maintenance now</w:t>
            </w:r>
            <w:r>
              <w:rPr>
                <w:sz w:val="19"/>
                <w:szCs w:val="19"/>
              </w:rPr>
              <w:t xml:space="preserve"> — choose Full (maintenance page for everyone) or Read-only (people can look around and sign in, but not change anything), Expected back (optional) and “Why now?” (required); live at once, all Super Admins are alerted, and a second Super Admin reviews it within 24 hours on the Changes screen. </w:t>
            </w:r>
            <w:r>
              <w:rPr>
                <w:sz w:val="19"/>
                <w:szCs w:val="19"/>
              </w:rPr>
              <w:t xml:space="preserve">Plan maintenance</w:t>
            </w:r>
            <w:r>
              <w:rPr>
                <w:sz w:val="19"/>
                <w:szCs w:val="19"/>
              </w:rPr>
              <w:t xml:space="preserve"> — start date and time (the next weekly window, Wednesday 02:00–04:00 IST, is suggested; another time needs a reason), Full or Read-only, expected back and reason; Preview impact; Send for approval to a second Super Admin; it starts by itself at the start time (Section 12.1, step 6); users see the notice from maintenance.notice_hours before (Section 10). </w:t>
            </w:r>
            <w:r>
              <w:rPr>
                <w:sz w:val="19"/>
                <w:szCs w:val="19"/>
              </w:rPr>
              <w:t xml:space="preserve">End maintenance</w:t>
            </w:r>
            <w:r>
              <w:rPr>
                <w:sz w:val="19"/>
                <w:szCs w:val="19"/>
              </w:rPr>
              <w:t xml:space="preserve"> — a short note is required; OudhTrade opens again at once, with no second approval. While maintenance is on, only Super Admins can use the console.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“For account {ID}: ON — decided by role override (Seller).” · “Turning this off in production hides {feature} for about {n} users.” · “Under-attack mode is a security switch; a Super Admin must approve it — or use the emergency path.” · “Emergency change by {name} at {time}. A second Super Admin must review it by {time}.” · “Full maintenance closes OudhTrade for every user and pauses background work. Only Super Admins can use the console.” · “Read-only maintenance: people can look around and sign in, but nothing can be changed.” · “Maintenance is on ({mode}) since {time}, started by {name}. Expected back: {time}.” · “Planned maintenance on {date} at {time} is approved. Users see a notice from {time}.” · “Maintenance ended. OudhTrade is open again.”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overrides. The switch uses its global value.”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 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“This account ID doesn’t exist.” · “Only a Super Admin can start or end maintenance.” · “Expected back must be later than the start.” · “A reason is required.” · Load or save failure with reference (Section 12.1).</w:t>
            </w:r>
          </w:p>
        </w:tc>
      </w:tr>
    </w:tbl>
    <w:p>
      <w:pPr>
        <w:spacing w:after="120"/>
      </w:pPr>
    </w:p>
    <w:p>
      <w:pPr>
        <w:pStyle w:val="Heading2"/>
      </w:pPr>
      <w:bookmarkStart w:name="h19" w:id="19"/>
      <w:r>
        <w:t xml:space="preserve">12.4 Country table (M01-AD-03)</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Specification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and Admin: edit. Moderator, Finance, Content Editor, Support: view only. Changes to a country’s status, features, sign-in settings or OTP cost cap are high impact; other fields (names, market region, phone code, time zones, weekend days, number style, address layout, currency, guide currency, default language, states and districts) are “other” changes (Section 12.1). The currencies offered as guide currency are one platform list in the Settings editor (Section 12.2), not on this screen. The blocked list is set with counsel (C7).</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it shows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row per country: flag, name, ISO code, market region, status (allowed, restricted, blocked), selling allowed (yes / no), launch status (open, invited only, not yet open), currency, guide currency, default language. Selling allowed and launch status are kept with the country’s features (M01-5 Section 5.1). Filters: status, market region (e.g. Gulf), selling allowed. Country detail tabs: </w:t>
            </w:r>
            <w:r>
              <w:rPr>
                <w:sz w:val="19"/>
                <w:szCs w:val="19"/>
              </w:rPr>
              <w:t xml:space="preserve">General</w:t>
            </w:r>
            <w:r>
              <w:rPr>
                <w:sz w:val="19"/>
                <w:szCs w:val="19"/>
              </w:rPr>
              <w:t xml:space="preserve"> (names, market region, currency, guide currency, default language, phone code, time zones, weekend days, number style, address layout — CTY-001); </w:t>
            </w:r>
            <w:r>
              <w:rPr>
                <w:sz w:val="19"/>
                <w:szCs w:val="19"/>
              </w:rPr>
              <w:t xml:space="preserve">Status and features</w:t>
            </w:r>
            <w:r>
              <w:rPr>
                <w:sz w:val="19"/>
                <w:szCs w:val="19"/>
              </w:rPr>
              <w:t xml:space="preserve"> (status: allowed, restricted, blocked — CTY-003; features: opportunities visible, export listings visible, selling allowed, launch status — CTY-004; all high impact); </w:t>
            </w:r>
            <w:r>
              <w:rPr>
                <w:sz w:val="19"/>
                <w:szCs w:val="19"/>
              </w:rPr>
              <w:t xml:space="preserve">Sign-in</w:t>
            </w:r>
            <w:r>
              <w:rPr>
                <w:sz w:val="19"/>
                <w:szCs w:val="19"/>
              </w:rPr>
              <w:t xml:space="preserve"> (OTP channel order, sign-in methods, SMS sender name registered (yes / no), daily OTP cost cap with its starting values — 0 while the country is not open for sign-up — CTY-008; the global daily cap for all countries is in the settings editor, Section 12.2); </w:t>
            </w:r>
            <w:r>
              <w:rPr>
                <w:sz w:val="19"/>
                <w:szCs w:val="19"/>
              </w:rPr>
              <w:t xml:space="preserve">ID rules</w:t>
            </w:r>
            <w:r>
              <w:rPr>
                <w:sz w:val="19"/>
                <w:szCs w:val="19"/>
              </w:rPr>
              <w:t xml:space="preserve"> (link to the business ID rules per country in M03-6, which own them); </w:t>
            </w:r>
            <w:r>
              <w:rPr>
                <w:sz w:val="19"/>
                <w:szCs w:val="19"/>
              </w:rPr>
              <w:t xml:space="preserve">States and districts</w:t>
            </w:r>
            <w:r>
              <w:rPr>
                <w:sz w:val="19"/>
                <w:szCs w:val="19"/>
              </w:rPr>
              <w:t xml:space="preserve"> (CTY-002): list of states with code (ISO 3166-2, e.g. IN-AS), name, number of districts and active or retired; opening a state shows its districts (official code, name, active or retired). Actions: </w:t>
            </w:r>
            <w:r>
              <w:rPr>
                <w:sz w:val="19"/>
                <w:szCs w:val="19"/>
              </w:rPr>
              <w:t xml:space="preserve">Add state</w:t>
            </w:r>
            <w:r>
              <w:rPr>
                <w:sz w:val="19"/>
                <w:szCs w:val="19"/>
              </w:rPr>
              <w:t xml:space="preserve">, </w:t>
            </w:r>
            <w:r>
              <w:rPr>
                <w:sz w:val="19"/>
                <w:szCs w:val="19"/>
              </w:rPr>
              <w:t xml:space="preserve">Add district</w:t>
            </w:r>
            <w:r>
              <w:rPr>
                <w:sz w:val="19"/>
                <w:szCs w:val="19"/>
              </w:rPr>
              <w:t xml:space="preserve">, </w:t>
            </w:r>
            <w:r>
              <w:rPr>
                <w:sz w:val="19"/>
                <w:szCs w:val="19"/>
              </w:rPr>
              <w:t xml:space="preserve">Rename</w:t>
            </w:r>
            <w:r>
              <w:rPr>
                <w:sz w:val="19"/>
                <w:szCs w:val="19"/>
              </w:rPr>
              <w:t xml:space="preserve">, </w:t>
            </w:r>
            <w:r>
              <w:rPr>
                <w:sz w:val="19"/>
                <w:szCs w:val="19"/>
              </w:rPr>
              <w:t xml:space="preserve">Retire</w:t>
            </w:r>
            <w:r>
              <w:rPr>
                <w:sz w:val="19"/>
                <w:szCs w:val="19"/>
              </w:rPr>
              <w:t xml:space="preserve"> (reason required; a state with active districts can’t be retired). Errors: “A state with this code already exists.” · “A district with this code already exists.” · “This state has {n} active districts. Retire them first.” Changes are “other” changes; retired states and districts are no longer offered in address forms but stay on records that use them. List tab </w:t>
            </w:r>
            <w:r>
              <w:rPr>
                <w:sz w:val="19"/>
                <w:szCs w:val="19"/>
              </w:rPr>
              <w:t xml:space="preserve">Exchange rates</w:t>
            </w:r>
            <w:r>
              <w:rPr>
                <w:sz w:val="19"/>
                <w:szCs w:val="19"/>
              </w:rPr>
              <w:t xml:space="preserve"> (view only; M01-2 CTY-005): one row per guide currency — rate against the base currency, rate date, source and a state chip: </w:t>
            </w:r>
            <w:r>
              <w:rPr>
                <w:sz w:val="19"/>
                <w:szCs w:val="19"/>
              </w:rPr>
              <w:t xml:space="preserve">Up to date</w:t>
            </w:r>
            <w:r>
              <w:rPr>
                <w:sz w:val="19"/>
                <w:szCs w:val="19"/>
              </w:rPr>
              <w:t xml:space="preserve"> · </w:t>
            </w:r>
            <w:r>
              <w:rPr>
                <w:sz w:val="19"/>
                <w:szCs w:val="19"/>
              </w:rPr>
              <w:t xml:space="preserve">Old — last rates in use</w:t>
            </w:r>
            <w:r>
              <w:rPr>
                <w:sz w:val="19"/>
                <w:szCs w:val="19"/>
              </w:rPr>
              <w:t xml:space="preserve"> (no new rates for 24 hours; the alert has been sent) · </w:t>
            </w:r>
            <w:r>
              <w:rPr>
                <w:sz w:val="19"/>
                <w:szCs w:val="19"/>
              </w:rPr>
              <w:t xml:space="preserve">Guide price hidden</w:t>
            </w:r>
            <w:r>
              <w:rPr>
                <w:sz w:val="19"/>
                <w:szCs w:val="19"/>
              </w:rPr>
              <w:t xml:space="preserve"> (rates older than fx.hide_after_hours, 48 hours by default). Before the first fetch: “No rates yet. The first rates arrive after the daily fetch at 06:00 IST.”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Edit</w:t>
            </w:r>
            <w:r>
              <w:rPr>
                <w:sz w:val="19"/>
                <w:szCs w:val="19"/>
              </w:rPr>
              <w:t xml:space="preserve"> each tab · Preview impact (e.g. “Blocking {country} stops about {n} visitors a day at the edge and {n} sign-ups”; shown when data is available) · Send for approval · History.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“Blocked countries are stopped at the edge and at sign-up.” · “This country is not open for sign-up, so its OTP cost cap is 0.” · “Opportunities will be hidden for viewers in {country}.” · “ID rules for this country are edited in the Module 3 editor.” (link)</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filter result: “No countries match these filters.”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 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“At least one sign-in method is required.” · “Unknown channel — use sms, whatsapp, email or voice.” · Load or save failure with reference.</w:t>
            </w:r>
          </w:p>
        </w:tc>
      </w:tr>
    </w:tbl>
    <w:p>
      <w:pPr>
        <w:spacing w:after="120"/>
      </w:pPr>
    </w:p>
    <w:p>
      <w:pPr>
        <w:pStyle w:val="Heading2"/>
      </w:pPr>
      <w:bookmarkStart w:name="h20" w:id="20"/>
      <w:r>
        <w:t xml:space="preserve">12.5 Reserved names (M01-AD-04)</w:t>
      </w:r>
      <w:bookmarkEnd w:id="2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Specification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and Admin: add, retire and edit; changes are “other” changes, so any other Admin approves (Section 12.1). Moderator: view (brand complaints are handled in M12). Other roles: no access.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it shows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 of names with kind (reserved, banned, protected brand), match type (exact; “contains” only for protected brand names of 5 or more characters), applies to (business name, page address), reason, added by and date, active or retired. Filters by kind; search.</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Add name</w:t>
            </w:r>
            <w:r>
              <w:rPr>
                <w:sz w:val="19"/>
                <w:szCs w:val="19"/>
              </w:rPr>
              <w:t xml:space="preserve"> (kind, match type, applies to and reason are required) · </w:t>
            </w:r>
            <w:r>
              <w:rPr>
                <w:sz w:val="19"/>
                <w:szCs w:val="19"/>
              </w:rPr>
              <w:t xml:space="preserve">Retire</w:t>
            </w:r>
            <w:r>
              <w:rPr>
                <w:sz w:val="19"/>
                <w:szCs w:val="19"/>
              </w:rPr>
              <w:t xml:space="preserve"> (reason required; names are never deleted) · </w:t>
            </w:r>
            <w:r>
              <w:rPr>
                <w:sz w:val="19"/>
                <w:szCs w:val="19"/>
              </w:rPr>
              <w:t xml:space="preserve">Check existing names</w:t>
            </w:r>
            <w:r>
              <w:rPr>
                <w:sz w:val="19"/>
                <w:szCs w:val="19"/>
              </w:rPr>
              <w:t xml:space="preserve">: before sending, the screen lists existing business names and page addresses that match the new entry (URL-009) · Preview impact · Send for approval · History.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 existing stores match ‘{name}’. They keep their names; each match goes to moderation (M12) as a reserved-name case.” · “‘Contains’ can only be used for a protected brand name of 5 or more characters.” · “Names are checked in lower case, with look-alike characters folded (0 → o, 1 → l).” · “This name is already on the list as {kind}.”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reserved names yet. Add the first one.”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 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reason is required.” · “Enter a name.” · Load or save failure with reference.</w:t>
            </w:r>
          </w:p>
        </w:tc>
      </w:tr>
    </w:tbl>
    <w:p>
      <w:pPr>
        <w:spacing w:after="120"/>
      </w:pPr>
    </w:p>
    <w:p>
      <w:pPr>
        <w:pStyle w:val="Heading2"/>
      </w:pPr>
      <w:bookmarkStart w:name="h21" w:id="21"/>
      <w:r>
        <w:t xml:space="preserve">12.6 Holiday calendar (M01-AD-05)</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Specification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and Admin: edit; changes are “other” changes, so any other Admin approves (Section 12.1). Moderator, Finance, Content Editor, Support: view only.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it shows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Year view (12 small months) per country (India at launch) with holidays marked; list view below with date, name, kind (national or company) and active or retired. Line at the top: “These holidays are skipped by service-target timers (IST business hours). Legal timers count calendar hours and ignore holidays.”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Add holiday</w:t>
            </w:r>
            <w:r>
              <w:rPr>
                <w:sz w:val="19"/>
                <w:szCs w:val="19"/>
              </w:rPr>
              <w:t xml:space="preserve"> (date, English name, kind; the key and translations are made from the name — other languages are added in the translation store, M17) · </w:t>
            </w:r>
            <w:r>
              <w:rPr>
                <w:sz w:val="19"/>
                <w:szCs w:val="19"/>
              </w:rPr>
              <w:t xml:space="preserve">Retire</w:t>
            </w:r>
            <w:r>
              <w:rPr>
                <w:sz w:val="19"/>
                <w:szCs w:val="19"/>
              </w:rPr>
              <w:t xml:space="preserve"> · </w:t>
            </w:r>
            <w:r>
              <w:rPr>
                <w:sz w:val="19"/>
                <w:szCs w:val="19"/>
              </w:rPr>
              <w:t xml:space="preserve">Import year</w:t>
            </w:r>
            <w:r>
              <w:rPr>
                <w:sz w:val="19"/>
                <w:szCs w:val="19"/>
              </w:rPr>
              <w:t xml:space="preserve"> (a CSV file with date, name, kind for one country; loaded as a draft) · year switcher · Preview impact · Send for approval · History (LOC-013).</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Preview</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“Adding Mon 2 Nov 2026 moves the due time of 42 open service-target timers by one business day, e.g. a listing review due Mon 2 Nov, 3:00 PM IST becomes due Tue 3 Nov, 3:00 PM IST.”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“Next year’s calendar isn’t loaded yet. Please import it before 1 January.” (shown from 1 November) · “This date is a Sunday — Sundays are already skipped.”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holidays for {year}. Add one or import the year.”</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 states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Import: “Row 7: date ‘31-02-2027’ isn’t a real date.” (the whole file is refused; nothing half-loaded) · “This date is already a holiday.” · Load or save failure with reference.</w:t>
            </w:r>
          </w:p>
        </w:tc>
      </w:tr>
    </w:tbl>
    <w:p>
      <w:pPr>
        <w:spacing w:after="120"/>
      </w:pPr>
    </w:p>
    <w:p>
      <w:pPr>
        <w:pStyle w:val="Heading2"/>
      </w:pPr>
      <w:bookmarkStart w:name="h22" w:id="22"/>
      <w:r>
        <w:t xml:space="preserve">12.7 Rate limits (M01-AD-06)</w:t>
      </w:r>
      <w:bookmarkEnd w:id="2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Specification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and Admin: edit (limits are high impact, so a Super Admin approves). Other roles: no access.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it shows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Policy list grouped by module and endpoint group (e.g. M01 / photo upload, M02 / OTP request), each with key (visitor IP or device, account, plan, API key, staff user, verified crawler — signed-in users are always counted by account), limit, time window, action on breach as ordered steps (e.g. wait message → challenge; challenge → block; slow down; ignore extra; security event) and overrides by plan, role and country (RTL-001, RTL-002). Side panel: blocks in the last 24 hours for the selected policy (count only). Visitors always get a challenge before a block. Under-attack mode is a feature switch (Section 12.3) and can be turned on at once through the emergency path (Section 12.1).</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At the top: </w:t>
            </w:r>
            <w:r>
              <w:rPr>
                <w:sz w:val="19"/>
                <w:szCs w:val="19"/>
              </w:rPr>
              <w:t xml:space="preserve">Block length</w:t>
            </w:r>
            <w:r>
              <w:rPr>
                <w:sz w:val="19"/>
                <w:szCs w:val="19"/>
              </w:rPr>
              <w:t xml:space="preserve"> (minutes a block lasts after repeated breaches; setting rate_limit.block_minutes, default 15, 5–1,440; high impact). Filters: module, key type, action on breach; search by action group. </w:t>
            </w:r>
            <w:r>
              <w:rPr>
                <w:sz w:val="19"/>
                <w:szCs w:val="19"/>
              </w:rPr>
              <w:t xml:space="preserve">Edit limit / window / action</w:t>
            </w:r>
            <w:r>
              <w:rPr>
                <w:sz w:val="19"/>
                <w:szCs w:val="19"/>
              </w:rPr>
              <w:t xml:space="preserve"> · </w:t>
            </w:r>
            <w:r>
              <w:rPr>
                <w:sz w:val="19"/>
                <w:szCs w:val="19"/>
              </w:rPr>
              <w:t xml:space="preserve">Add override</w:t>
            </w:r>
            <w:r>
              <w:rPr>
                <w:sz w:val="19"/>
                <w:szCs w:val="19"/>
              </w:rPr>
              <w:t xml:space="preserve"> · Preview impact (e.g. “At the new limit, about 0.4 % of yesterday’s requests would have been refused”; before traffic is recorded: “shown when data is available”) · Send for approval · History. Blocks of one key are listed, set and lifted on Blocks (M01-AD-15, Section 12.16), not here.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“Limits registered by a module’s code can be changed here but not removed.” · “This limit is high impact. A Super Admin must approve the change.”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filter result: “No policies match these filters.”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 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“Limit must be a whole number above 0.” · Load or save failure with reference.</w:t>
            </w:r>
          </w:p>
        </w:tc>
      </w:tr>
    </w:tbl>
    <w:p>
      <w:pPr>
        <w:spacing w:after="120"/>
      </w:pPr>
    </w:p>
    <w:p>
      <w:pPr>
        <w:pStyle w:val="Heading2"/>
      </w:pPr>
      <w:bookmarkStart w:name="h23" w:id="23"/>
      <w:r>
        <w:t xml:space="preserve">12.8 AI usage and budgets (M01-AD-07)</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Specification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and Admin: view and edit budgets. Finance: view, and may draft budget changes and send them for approval (their drafts show on the Changes / approvals screen, M16-AD-01, tab My drafts). Other roles: no access. AI budgets are high impact, so a Super Admin who is not the editor approves (Section 12.1).</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it shows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row per module and purpose (e.g. M07 search embeddings, M12 moderation hints), with the starting budgets from M01-2 AIG-004: calls this month, tokens in and out, cost this month against the monthly budget (bar and percentage), alert state (none, 80 % reached, 100 % reached), essential or non-essential, and pause state (“Paused since {date}” for a non-essential purpose at 100 %). Totals per module and for the platform. Month picker for past months: a past month shows its spend against the budget that was live in that month (from the version history) (AIG-003, AIG-004, AIG-006).</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Edit budget</w:t>
            </w:r>
            <w:r>
              <w:rPr>
                <w:sz w:val="19"/>
                <w:szCs w:val="19"/>
              </w:rPr>
              <w:t xml:space="preserve"> (monthly amount, alert levels, </w:t>
            </w:r>
            <w:r>
              <w:rPr>
                <w:sz w:val="19"/>
                <w:szCs w:val="19"/>
              </w:rPr>
              <w:t xml:space="preserve">Essential (never paused)</w:t>
            </w:r>
            <w:r>
              <w:rPr>
                <w:sz w:val="19"/>
                <w:szCs w:val="19"/>
              </w:rPr>
              <w:t xml:space="preserve"> switch; all high impact — Finance can draft but a Super Admin approves) → Preview impact (“At the current rate this purpose reaches its budget on {date}”) → Send for approval · History. A paused purpose starts again when a raised budget is published or at the start of the next month.</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“{Purpose} has used 82 % of its budget ({amount} of {amount}).” · “{Purpose} is paused: it reached 100 % of its budget. The feature works without AI until the budget is raised or the month ends.” · “Essential purposes are never paused; they alert at 100 %.”</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AI calls this month.”</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 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“Cost figures are up to 1 hour behind.” (shown when the hourly check has not yet run) · Load or save failure with reference.</w:t>
            </w:r>
          </w:p>
        </w:tc>
      </w:tr>
    </w:tbl>
    <w:p>
      <w:pPr>
        <w:spacing w:after="120"/>
      </w:pPr>
    </w:p>
    <w:p>
      <w:pPr>
        <w:pStyle w:val="Heading2"/>
      </w:pPr>
      <w:bookmarkStart w:name="h24" w:id="24"/>
      <w:r>
        <w:t xml:space="preserve">12.9 Audit log viewer (M01-AD-08)</w:t>
      </w:r>
      <w:bookmarkEnd w:id="24"/>
    </w:p>
    <w:p>
      <w:pPr>
        <w:spacing w:after="120" w:line="276"/>
      </w:pPr>
      <w:r>
        <w:t xml:space="preserve">A staff screen of the Operations Console (M15), in the shared console shell. It reads the audit log; it never changes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Specification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As in AUD-005: Super Admin and Admin search all records; Moderator sees the history of the item or account under review; Finance sees payment, refund and invoice records; Support sees an account summary without private documents. Content Editor: no access. Field agents do not use the console; they see their own actions in </w:t>
            </w:r>
            <w:r>
              <w:rPr>
                <w:sz w:val="19"/>
                <w:szCs w:val="19"/>
              </w:rPr>
              <w:t xml:space="preserve">My actions</w:t>
            </w:r>
            <w:r>
              <w:rPr>
                <w:sz w:val="19"/>
                <w:szCs w:val="19"/>
              </w:rPr>
              <w:t xml:space="preserve"> in the agent app (M02-S20, /agent/my-actions), which reads GET /v1/audit?actor=me (own records only). My account activity (Section 9) is for users. Export: Super Admin only (AUD-007).</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it shows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Search form: time range, actor (staff or user ID), action, target (type and ID). Results table (newest first, 20 per page, cursor paging): time, actor and role, action, target, reason. Line above the results: “Your searches are recorded.” (AUD-006)</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Record detail</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fields of the record: time, actor and role, action, target, reason, before and after values side by side (ID numbers masked), IP and device, request ID. </w:t>
            </w:r>
            <w:r>
              <w:rPr>
                <w:sz w:val="19"/>
                <w:szCs w:val="19"/>
              </w:rPr>
              <w:t xml:space="preserve">Chain check</w:t>
            </w:r>
            <w:r>
              <w:rPr>
                <w:sz w:val="19"/>
                <w:szCs w:val="19"/>
              </w:rPr>
              <w:t xml:space="preserve">: “Chain intact — checked {date time}”; “Not yet sealed — records are sealed every 5 minutes” (a record written in the last few minutes); “Sealed, not yet checked — the daily check runs at {time}”; or, in red, “Chain break found — the tech lead has been alerted” (AUD-008).</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Search</w:t>
            </w:r>
            <w:r>
              <w:rPr>
                <w:sz w:val="19"/>
                <w:szCs w:val="19"/>
              </w:rPr>
              <w:t xml:space="preserve"> · </w:t>
            </w:r>
            <w:r>
              <w:rPr>
                <w:sz w:val="19"/>
                <w:szCs w:val="19"/>
              </w:rPr>
              <w:t xml:space="preserve">Open record</w:t>
            </w:r>
            <w:r>
              <w:rPr>
                <w:sz w:val="19"/>
                <w:szCs w:val="19"/>
              </w:rPr>
              <w:t xml:space="preserve"> · </w:t>
            </w:r>
            <w:r>
              <w:rPr>
                <w:sz w:val="19"/>
                <w:szCs w:val="19"/>
              </w:rPr>
              <w:t xml:space="preserve">Export</w:t>
            </w:r>
            <w:r>
              <w:rPr>
                <w:sz w:val="19"/>
                <w:szCs w:val="19"/>
              </w:rPr>
              <w:t xml:space="preserve"> (Super Admin only): format CSV or JSON, reason required — “Why are you exporting these records? (e.g. police request number)”; the export is recorded (AUD-007). There is no edit or delete button anywhere.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“Showing records you are allowed to see.” · “Export ready — {n} records. This export has been recorded.”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records match this search.”</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 states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“Search too wide — choose a shorter time range or add an actor or target.” · “A reason is required to export.” · Load failure with reference.</w:t>
            </w:r>
          </w:p>
        </w:tc>
      </w:tr>
    </w:tbl>
    <w:p>
      <w:pPr>
        <w:spacing w:after="120"/>
      </w:pPr>
    </w:p>
    <w:p>
      <w:pPr>
        <w:spacing w:after="120" w:line="276"/>
      </w:pPr>
      <w:r>
        <w:rPr>
          <w:b/>
          <w:bCs/>
        </w:rPr>
        <w:t xml:space="preserve">Fields each role sees</w:t>
      </w:r>
      <w:r>
        <w:t xml:space="preserve"> (the server leaves out the other fields; M01-3 Section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1542"/>
        <w:gridCol w:w="1928"/>
        <w:gridCol w:w="1928"/>
        <w:gridCol w:w="1541"/>
      </w:tblGrid>
      <w:tr>
        <w:trPr>
          <w:tblHeader/>
        </w:trPr>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Field</w:t>
            </w:r>
          </w:p>
        </w:tc>
        <w:tc>
          <w:tcPr>
            <w:tcW w:type="dxa" w:w="1542"/>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Super Admin, Admin</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Moderator, Senior Moderator</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Finance</w:t>
            </w:r>
          </w:p>
        </w:tc>
        <w:tc>
          <w:tcPr>
            <w:tcW w:type="dxa" w:w="1541"/>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Support</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Time, action, target, reason, request ID</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Yes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Yes (items under review)</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Yes (payment, refund, invoice records)</w:t>
            </w:r>
          </w:p>
        </w:tc>
        <w:tc>
          <w:tcPr>
            <w:tcW w:type="dxa" w:w="154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Yes (account summary)</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Actor name and role</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Yes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Yes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Yes</w:t>
            </w:r>
          </w:p>
        </w:tc>
        <w:tc>
          <w:tcPr>
            <w:tcW w:type="dxa" w:w="154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Role only (e.g. “OudhTrade staff”)</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Before and after values (ID numbers masked)</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Yes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Yes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Yes</w:t>
            </w:r>
          </w:p>
        </w:tc>
        <w:tc>
          <w:tcPr>
            <w:tcW w:type="dxa" w:w="154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No</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IP address and device</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Yes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No</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No</w:t>
            </w:r>
          </w:p>
        </w:tc>
        <w:tc>
          <w:tcPr>
            <w:tcW w:type="dxa" w:w="154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No</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Chain check result</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Yes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Yes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Yes</w:t>
            </w:r>
          </w:p>
        </w:tc>
        <w:tc>
          <w:tcPr>
            <w:tcW w:type="dxa" w:w="154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No</w:t>
            </w:r>
          </w:p>
        </w:tc>
      </w:tr>
    </w:tbl>
    <w:p>
      <w:pPr>
        <w:spacing w:after="120"/>
      </w:pPr>
    </w:p>
    <w:p>
      <w:pPr>
        <w:spacing w:after="120" w:line="276"/>
      </w:pPr>
      <w:r>
        <w:t xml:space="preserve">Field agents (My actions) see only time, action and target of their own records; users (Section 9) see their own account activity.</w:t>
      </w:r>
    </w:p>
    <w:p>
      <w:pPr>
        <w:pStyle w:val="Heading2"/>
      </w:pPr>
      <w:bookmarkStart w:name="h25" w:id="25"/>
      <w:r>
        <w:t xml:space="preserve">12.10 Legal hold (M01-AD-09)</w:t>
      </w:r>
      <w:bookmarkEnd w:id="25"/>
    </w:p>
    <w:p>
      <w:pPr>
        <w:spacing w:after="120" w:line="276"/>
      </w:pPr>
      <w:r>
        <w:t xml:space="preserve">A staff screen of the Operations Console (M15), in the shared console shell. A legal hold stops the retention job from deleting or anonymising the data it covers until the hold is released (M01-2 RET-003, RET-004). Holds are staff actions, not settings, so they do not use the approval steps of Section 12.1; every step is audited.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Specification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and Admin: place and release holds. Moderator: view holds on the items they review. Other roles: no access. Moderation (M12) also places holds automatically when content is taken down; these show “Placed by: System (takedown)”.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it shows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 with tabs </w:t>
            </w:r>
            <w:r>
              <w:rPr>
                <w:sz w:val="19"/>
                <w:szCs w:val="19"/>
              </w:rPr>
              <w:t xml:space="preserve">Active</w:t>
            </w:r>
            <w:r>
              <w:rPr>
                <w:sz w:val="19"/>
                <w:szCs w:val="19"/>
              </w:rPr>
              <w:t xml:space="preserve"> and </w:t>
            </w:r>
            <w:r>
              <w:rPr>
                <w:sz w:val="19"/>
                <w:szCs w:val="19"/>
              </w:rPr>
              <w:t xml:space="preserve">Released</w:t>
            </w:r>
            <w:r>
              <w:rPr>
                <w:sz w:val="19"/>
                <w:szCs w:val="19"/>
              </w:rPr>
              <w:t xml:space="preserve">: scope (account, profile, listing, message thread, trade, file or legal order — the one list of M01-5 Section 11.1 — with its ID and name), reason, reference (e.g. court order or police request number), placed by and date, released by, date and release reason. Filters: scope type, placed by, date. Search by ID or reference. Detail: what the hold covers, with counts (e.g. “1 account, 12 listings, 340 messages, 58 files”).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Place a hold</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Place hold</w:t>
            </w:r>
            <w:r>
              <w:rPr>
                <w:sz w:val="19"/>
                <w:szCs w:val="19"/>
              </w:rPr>
              <w:t xml:space="preserve"> → choose the scope type and enter or pick the ID → the screen shows what the hold will cover, with counts → enter the reason and reference (both required) → </w:t>
            </w:r>
            <w:r>
              <w:rPr>
                <w:sz w:val="19"/>
                <w:szCs w:val="19"/>
              </w:rPr>
              <w:t xml:space="preserve">Place hold</w:t>
            </w:r>
            <w:r>
              <w:rPr>
                <w:sz w:val="19"/>
                <w:szCs w:val="19"/>
              </w:rPr>
              <w:t xml:space="preserve">. The hold works at once; legal_hold.placed is sent.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Release a hold</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Release</w:t>
            </w:r>
            <w:r>
              <w:rPr>
                <w:sz w:val="19"/>
                <w:szCs w:val="19"/>
              </w:rPr>
              <w:t xml:space="preserve"> on an active hold → the screen shows what the next daily retention run would then delete or anonymise, e.g. “If you release this hold, 58 files and 340 messages past their retention period will be deleted at the next daily run (02:00 IST).” → release reason required → confirm. legal_hold.released is sent. Released holds stay in the list; they are never deleted.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“Hold placed. Nothing it covers will be deleted until it is released.” · “This item is already covered by hold {reference}.” · “Released. Normal retention periods apply again.”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active legal holds.”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 states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reason and a reference are required.” · “This ID doesn’t exist.” · Load or save failure with reference (Section 12.1).</w:t>
            </w:r>
          </w:p>
        </w:tc>
      </w:tr>
    </w:tbl>
    <w:p>
      <w:pPr>
        <w:spacing w:after="120"/>
      </w:pPr>
    </w:p>
    <w:p>
      <w:pPr>
        <w:pStyle w:val="Heading2"/>
      </w:pPr>
      <w:bookmarkStart w:name="h26" w:id="26"/>
      <w:r>
        <w:t xml:space="preserve">12.11 Failed jobs (M01-AD-10)</w:t>
      </w:r>
      <w:bookmarkEnd w:id="26"/>
    </w:p>
    <w:p>
      <w:pPr>
        <w:spacing w:after="120" w:line="276"/>
      </w:pPr>
      <w:r>
        <w:t xml:space="preserve">A staff screen of the Operations Console (M15), in the shared console shell for background jobs that failed (M01-2 EVT-002, EVT-005). A job retries by itself with growing delays; after the last retry it moves to the dead-letter list (M01-3 Section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Specification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and Admin. Other roles: no access. On-call engineers use the same screen with an Admin account.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it shows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Two tabs: </w:t>
            </w:r>
            <w:r>
              <w:rPr>
                <w:sz w:val="19"/>
                <w:szCs w:val="19"/>
              </w:rPr>
              <w:t xml:space="preserve">Retrying</w:t>
            </w:r>
            <w:r>
              <w:rPr>
                <w:sz w:val="19"/>
                <w:szCs w:val="19"/>
              </w:rPr>
              <w:t xml:space="preserve"> (jobs still inside their retries, with the next try time) and </w:t>
            </w:r>
            <w:r>
              <w:rPr>
                <w:sz w:val="19"/>
                <w:szCs w:val="19"/>
              </w:rPr>
              <w:t xml:space="preserve">Dead-letter</w:t>
            </w:r>
            <w:r>
              <w:rPr>
                <w:sz w:val="19"/>
                <w:szCs w:val="19"/>
              </w:rPr>
              <w:t xml:space="preserve"> (all retries used). Each row: job kind (e.g. video.transcode, retention.run), owner module, first failure time, number of tries, last error (short error code and request ID; personal data is removed before it is saved, M01-3 Section 5) and target ID (e.g. file ID) with a </w:t>
            </w:r>
            <w:r>
              <w:rPr>
                <w:sz w:val="19"/>
                <w:szCs w:val="19"/>
              </w:rPr>
              <w:t xml:space="preserve">View account</w:t>
            </w:r>
            <w:r>
              <w:rPr>
                <w:sz w:val="19"/>
                <w:szCs w:val="19"/>
              </w:rPr>
              <w:t xml:space="preserve"> link to account lookup (M02-AD-01), which checks its own permission and records the look-up; no names, phone numbers or emails on this screen. Filters: job kind, module, date. A count per kind is shown at the top, e.g. “video.transcode: 14 dead”.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Retry</w:t>
            </w:r>
            <w:r>
              <w:rPr>
                <w:sz w:val="19"/>
                <w:szCs w:val="19"/>
              </w:rPr>
              <w:t xml:space="preserve"> one job (starts again with fresh tries) · </w:t>
            </w:r>
            <w:r>
              <w:rPr>
                <w:sz w:val="19"/>
                <w:szCs w:val="19"/>
              </w:rPr>
              <w:t xml:space="preserve">Retry all of this kind</w:t>
            </w:r>
            <w:r>
              <w:rPr>
                <w:sz w:val="19"/>
                <w:szCs w:val="19"/>
              </w:rPr>
              <w:t xml:space="preserve"> (up to 100 jobs at a time; reason required) · </w:t>
            </w:r>
            <w:r>
              <w:rPr>
                <w:sz w:val="19"/>
                <w:szCs w:val="19"/>
              </w:rPr>
              <w:t xml:space="preserve">Discard</w:t>
            </w:r>
            <w:r>
              <w:rPr>
                <w:sz w:val="19"/>
                <w:szCs w:val="19"/>
              </w:rPr>
              <w:t xml:space="preserve"> a dead job (reason required; the job stays in the list as “discarded”). Every retry and discard is written to the audit log, with its reason.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“Retry started. The job will run in the next minute.” · Partial bulk retry: “Retry started for {n} of {m} jobs. {k} could not be retried (their target no longer exists); they stay in the list — discard them instead.” · “Retrying doesn’t fix the cause. Check the last error first.” · “The target of this job no longer exists. Discard it instead.”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failed jobs.”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 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reason is required.” · “You can retry up to 100 jobs at a time.” · Load or save failure with reference.</w:t>
            </w:r>
          </w:p>
        </w:tc>
      </w:tr>
    </w:tbl>
    <w:p>
      <w:pPr>
        <w:spacing w:after="120"/>
      </w:pPr>
    </w:p>
    <w:p>
      <w:pPr>
        <w:spacing w:after="120" w:line="276"/>
      </w:pPr>
      <w:r>
        <w:t xml:space="preserve">An alert fires when the job backlog is older than 5 minutes (EVT-004); the alert links to this screen.</w:t>
      </w:r>
    </w:p>
    <w:p>
      <w:pPr>
        <w:pStyle w:val="Heading2"/>
      </w:pPr>
      <w:bookmarkStart w:name="h27" w:id="27"/>
      <w:r>
        <w:t xml:space="preserve">12.12 Retention policies (M01-AD-11)</w:t>
      </w:r>
      <w:bookmarkEnd w:id="27"/>
    </w:p>
    <w:p>
      <w:pPr>
        <w:spacing w:after="120" w:line="276"/>
      </w:pPr>
      <w:r>
        <w:t xml:space="preserve">A settings screen of the Configuration Console (M16), in the Settings menu group of the shared console shell. It shows how long each type of data is kept and what happens after that (M01-2 RET-001, RET-002, RET-005). Retention periods are compliance rules, so every change is high impact and uses Section 12.1.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Specification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and Admin: edit (a Super Admin who is not the editor approves). Moderator and Finance: view only. Other roles: no access.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it shows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row per data type (e.g. unattached uploads, closed accounts, chat after account closure, invoices, audit log, security logs, processing logs): period, action after the period (delete or anonymise), legal minimum, legal basis (e.g. “CERT-In Directions 2022”, “GST law”), last daily run result (items deleted, anonymised and kept because of a hold) and the number of active legal holds that cover this data type (link to Section 12.10). Periods still to be confirmed with counsel show the chip “To be confirmed with counsel”.</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Edit period / action / legal basis</w:t>
            </w:r>
            <w:r>
              <w:rPr>
                <w:sz w:val="19"/>
                <w:szCs w:val="19"/>
              </w:rPr>
              <w:t xml:space="preserve"> · Preview impact (e.g. “At the next daily run, about 1,200 unattached uploads would be deleted instead of 400”) · Send for approval · History.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legal minimum for this data type is {n} days. You can’t set a shorter period.” · “Data under a legal hold is never deleted, whatever the period.”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Not possible: every data type has a policy (added with the module that owns the data).</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 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“Enter a whole number of days.” · “Period is shorter than the legal minimum.” · Load or save failure with reference.</w:t>
            </w:r>
          </w:p>
        </w:tc>
      </w:tr>
    </w:tbl>
    <w:p>
      <w:pPr>
        <w:spacing w:after="120"/>
      </w:pPr>
    </w:p>
    <w:p>
      <w:pPr>
        <w:pStyle w:val="Heading2"/>
      </w:pPr>
      <w:bookmarkStart w:name="h28" w:id="28"/>
      <w:r>
        <w:t xml:space="preserve">12.13 Units and conversion factors (M01-AD-12)</w:t>
      </w:r>
      <w:bookmarkEnd w:id="28"/>
    </w:p>
    <w:p>
      <w:pPr>
        <w:spacing w:after="120" w:line="276"/>
      </w:pPr>
      <w:r>
        <w:t xml:space="preserve">A settings screen of the Configuration Console (M16), in the Settings menu group of the shared console shell for the unit list, the conversion factors and the state land-unit table (M01-2 UNT-001, UNT-008, UNT-009). It uses Section 12.1; unit and factor changes are “other” changes, so any other Admin who is not the editor approves.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Specification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and Admin: edit. Moderator, Finance, Content Editor, Support: view only.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it shows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Tab </w:t>
            </w:r>
            <w:r>
              <w:rPr>
                <w:sz w:val="19"/>
                <w:szCs w:val="19"/>
              </w:rPr>
              <w:t xml:space="preserve">Units</w:t>
            </w:r>
            <w:r>
              <w:rPr>
                <w:sz w:val="19"/>
                <w:szCs w:val="19"/>
              </w:rPr>
              <w:t xml:space="preserve">: one row per unit — name, code, type (weight, volume, count, area), standard unit, factor (e.g. tola (wood) 11.66 g, oil tola 12 ml), state-based (yes / no), helper only (yes / no), number of live listings that use it, active or retired. Tab </w:t>
            </w:r>
            <w:r>
              <w:rPr>
                <w:sz w:val="19"/>
                <w:szCs w:val="19"/>
              </w:rPr>
              <w:t xml:space="preserve">Helper units</w:t>
            </w:r>
            <w:r>
              <w:rPr>
                <w:sz w:val="19"/>
                <w:szCs w:val="19"/>
              </w:rPr>
              <w:t xml:space="preserve">: one row per viewer country — country, market region, helper units shown (e.g. tola and mithqal for the Gulf); edited here as an “other” change. Tab </w:t>
            </w:r>
            <w:r>
              <w:rPr>
                <w:sz w:val="19"/>
                <w:szCs w:val="19"/>
              </w:rPr>
              <w:t xml:space="preserve">State land units</w:t>
            </w:r>
            <w:r>
              <w:rPr>
                <w:sz w:val="19"/>
                <w:szCs w:val="19"/>
              </w:rPr>
              <w:t xml:space="preserve">: one row per state and unit (bigha, katha, lessa) — state, unit, size in sq ft and m², source (the state land record that was checked, with date), active or retired. The starting values for Assam and West Bengal are in M01-2 UNT-009.</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Add unit</w:t>
            </w:r>
            <w:r>
              <w:rPr>
                <w:sz w:val="19"/>
                <w:szCs w:val="19"/>
              </w:rPr>
              <w:t xml:space="preserve"> (form: name, code — a–z, 0–9 and underscore, unique, never changed after publishing — type, standard unit, factor, state-based yes / no, helper only yes / no; errors “A unit with this code already exists.”, “Enter a factor above 0.”, “A state-based unit has no single factor — add state factors instead.”) · </w:t>
            </w:r>
            <w:r>
              <w:rPr>
                <w:sz w:val="19"/>
                <w:szCs w:val="19"/>
              </w:rPr>
              <w:t xml:space="preserve">Edit factor</w:t>
            </w:r>
            <w:r>
              <w:rPr>
                <w:sz w:val="19"/>
                <w:szCs w:val="19"/>
              </w:rPr>
              <w:t xml:space="preserve"> · </w:t>
            </w:r>
            <w:r>
              <w:rPr>
                <w:sz w:val="19"/>
                <w:szCs w:val="19"/>
              </w:rPr>
              <w:t xml:space="preserve">Retire</w:t>
            </w:r>
            <w:r>
              <w:rPr>
                <w:sz w:val="19"/>
                <w:szCs w:val="19"/>
              </w:rPr>
              <w:t xml:space="preserve"> (never delete; a unit used by live listings cannot be retired — the screen shows how many) · </w:t>
            </w:r>
            <w:r>
              <w:rPr>
                <w:sz w:val="19"/>
                <w:szCs w:val="19"/>
              </w:rPr>
              <w:t xml:space="preserve">Add state factor</w:t>
            </w:r>
            <w:r>
              <w:rPr>
                <w:sz w:val="19"/>
                <w:szCs w:val="19"/>
              </w:rPr>
              <w:t xml:space="preserve"> (state, unit, size and source are required) · Preview impact (e.g. “Changing tola (wood) from 11.66 g to 11.664 g changes the helper line on about 3,420 listings; stored metric prices do not change”) · Send for approval · History.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“Add a state only after checking that state’s land records. Enter which record you checked.” · “Sellers can choose bigha, katha or lessa only in states listed here.” · “Oil volume and weight are never converted into each other.”</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State land units for a country with no rows: “No state land units for {country}. Sellers there can’t use bigha, katha or lessa yet.”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 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“Enter a factor above 0.” · “A source is required for a state factor.” · “This unit is used by {n} live listings and can’t be retired.” · Load or save failure with reference.</w:t>
            </w:r>
          </w:p>
        </w:tc>
      </w:tr>
    </w:tbl>
    <w:p>
      <w:pPr>
        <w:spacing w:after="120"/>
      </w:pPr>
    </w:p>
    <w:p>
      <w:pPr>
        <w:pStyle w:val="Heading2"/>
      </w:pPr>
      <w:bookmarkStart w:name="h29" w:id="29"/>
      <w:r>
        <w:t xml:space="preserve">12.14 Photo location view (M01-AD-13)</w:t>
      </w:r>
      <w:bookmarkEnd w:id="29"/>
    </w:p>
    <w:p>
      <w:pPr>
        <w:spacing w:after="120" w:line="276"/>
      </w:pPr>
      <w:r>
        <w:t xml:space="preserve">A panel, not a page of its own: it shows the location stored in the private original of a photo (M01-2 FIL-022, FIL-027). It opens from the photos on the Module 3 review screens (e.g. M03-AD-01 Verification review and M03-AD-03 Farm visit review) and on the M06 origin-check screens. The location is never shown anywhere else.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Specification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Only staff with the permission photo_location.view (Moderator and Senior Moderator — the verification team). Other staff do not see the button at all.</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How it opens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Button </w:t>
            </w:r>
            <w:r>
              <w:rPr>
                <w:sz w:val="19"/>
                <w:szCs w:val="19"/>
              </w:rPr>
              <w:t xml:space="preserve">Show photo location</w:t>
            </w:r>
            <w:r>
              <w:rPr>
                <w:sz w:val="19"/>
                <w:szCs w:val="19"/>
              </w:rPr>
              <w:t xml:space="preserve"> under a photo → box “Why do you need the location?” with a reason list (Origin check for a listing · Origin check for a document · Farm or plantation check · Legal order) and a note field (required, e.g. the listing or case number) → </w:t>
            </w:r>
            <w:r>
              <w:rPr>
                <w:sz w:val="19"/>
                <w:szCs w:val="19"/>
              </w:rPr>
              <w:t xml:space="preserve">Show</w:t>
            </w:r>
            <w:r>
              <w:rPr>
                <w:sz w:val="19"/>
                <w:szCs w:val="19"/>
              </w:rPr>
              <w:t xml:space="preserv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it shows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coordinates and the distance to the declared place (address or district on the listing or profile), both worked out on the server, e.g. “26.35° N, 92.68° E — about 3 km from the declared plantation district (Nagaon, Assam).” No map. Line at the bottom: “This view is recorded with your reason.”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Rules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view writes an audit record with the reason and note (FIL-027). No copy, download or export button. The location is not copied into case notes by the screen; the staff member writes their finding in words (e.g. “Location matches declared district”).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“This photo has no stored location.” (also for photos whose purpose does not keep location, M01-2 FIL-022) · “Location shown. This view has been recorded.” · “No declared place to compare with — coordinates only.”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location stored for this photo.”</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 states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“Choose a reason and add a note.” · “You don’t have access to photo locations.” · Load failure with reference.</w:t>
            </w:r>
          </w:p>
        </w:tc>
      </w:tr>
    </w:tbl>
    <w:p>
      <w:pPr>
        <w:spacing w:after="120"/>
      </w:pPr>
    </w:p>
    <w:p>
      <w:pPr>
        <w:pStyle w:val="Heading2"/>
      </w:pPr>
      <w:bookmarkStart w:name="h30" w:id="30"/>
      <w:r>
        <w:t xml:space="preserve">12.15 Simple lists (M01-AD-14)</w:t>
      </w:r>
      <w:bookmarkEnd w:id="30"/>
    </w:p>
    <w:p>
      <w:pPr>
        <w:spacing w:after="120" w:line="276"/>
      </w:pPr>
      <w:r>
        <w:t xml:space="preserve">A settings screen of the Configuration Console (M16), in the Settings menu group of the shared console shell, for the short lists other modules use in their forms: site types, link platforms, capacity units and service techniques (M01-2 CFG-011; tables tag_groups and tags, M01-5 Sections 8.5 and 8.6). It uses Section 12.1; changes are “other” changes, so any other Admin who is not the editor approves.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Specification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and Admin: edit. Moderator, Finance, Content Editor, Support: view only.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it shows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First the </w:t>
            </w:r>
            <w:r>
              <w:rPr>
                <w:sz w:val="19"/>
                <w:szCs w:val="19"/>
              </w:rPr>
              <w:t xml:space="preserve">groups</w:t>
            </w:r>
            <w:r>
              <w:rPr>
                <w:sz w:val="19"/>
                <w:szCs w:val="19"/>
              </w:rPr>
              <w:t xml:space="preserve">: one row per list — name, key (e.g. site_type), used by (e.g. M03 business sites), number of active and retired items, “Items can have a parent” (yes / no). Opening a group shows its </w:t>
            </w:r>
            <w:r>
              <w:rPr>
                <w:sz w:val="19"/>
                <w:szCs w:val="19"/>
              </w:rPr>
              <w:t xml:space="preserve">items</w:t>
            </w:r>
            <w:r>
              <w:rPr>
                <w:sz w:val="19"/>
                <w:szCs w:val="19"/>
              </w:rPr>
              <w:t xml:space="preserve"> in their order: name (in the staff member’s language, with a link to the other languages in the translation store), key, parent (when the group allows parents; child items are shown indented under their parent), number of records that use it (where the owning module reports it), active or retired. Filter: active, retired, all; search by name or key.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Add item</w:t>
            </w:r>
            <w:r>
              <w:rPr>
                <w:sz w:val="19"/>
                <w:szCs w:val="19"/>
              </w:rPr>
              <w:t xml:space="preserve"> (name required, up to 60 characters; the key is suggested from the English name, can be edited before the first publish and never changes after) · </w:t>
            </w:r>
            <w:r>
              <w:rPr>
                <w:sz w:val="19"/>
                <w:szCs w:val="19"/>
              </w:rPr>
              <w:t xml:space="preserve">Rename</w:t>
            </w:r>
            <w:r>
              <w:rPr>
                <w:sz w:val="19"/>
                <w:szCs w:val="19"/>
              </w:rPr>
              <w:t xml:space="preserve"> (changes the name only; the key stays) · </w:t>
            </w:r>
            <w:r>
              <w:rPr>
                <w:sz w:val="19"/>
                <w:szCs w:val="19"/>
              </w:rPr>
              <w:t xml:space="preserve">Reorder</w:t>
            </w:r>
            <w:r>
              <w:rPr>
                <w:sz w:val="19"/>
                <w:szCs w:val="19"/>
              </w:rPr>
              <w:t xml:space="preserve"> (move up / down buttons, also by keyboard; drag on a mouse) · </w:t>
            </w:r>
            <w:r>
              <w:rPr>
                <w:sz w:val="19"/>
                <w:szCs w:val="19"/>
              </w:rPr>
              <w:t xml:space="preserve">Set parent</w:t>
            </w:r>
            <w:r>
              <w:rPr>
                <w:sz w:val="19"/>
                <w:szCs w:val="19"/>
              </w:rPr>
              <w:t xml:space="preserve"> (only in a group that allows parents; one level) · </w:t>
            </w:r>
            <w:r>
              <w:rPr>
                <w:sz w:val="19"/>
                <w:szCs w:val="19"/>
              </w:rPr>
              <w:t xml:space="preserve">Retire</w:t>
            </w:r>
            <w:r>
              <w:rPr>
                <w:sz w:val="19"/>
                <w:szCs w:val="19"/>
              </w:rPr>
              <w:t xml:space="preserve"> (reason required; never delete) · </w:t>
            </w:r>
            <w:r>
              <w:rPr>
                <w:sz w:val="19"/>
                <w:szCs w:val="19"/>
              </w:rPr>
              <w:t xml:space="preserve">Rename group</w:t>
            </w:r>
            <w:r>
              <w:rPr>
                <w:sz w:val="19"/>
                <w:szCs w:val="19"/>
              </w:rPr>
              <w:t xml:space="preserve"> · Preview impact (e.g. “Retiring ‘Warehouse’ hides it from new site forms; 14 sites that already use it keep it”) · Send for approval · History. Groups cannot be added, removed or retired here: a group is added or retired only with the module that uses it (a developer migration).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key can’t be changed after the item is published. Records store the key, not the name.” · “Retired items are no longer offered, but records that use them keep them.” · “This item has {n} active items under it. Retire or move them first.”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group with no items: “No items in this list yet. Add the first one.”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 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“Enter a name.” · “An item with this key already exists in this list.” · “Items in this list can’t have a parent.” (PARENT_NOT_ALLOWED) · “A parent can’t itself have a parent.” · Retiring a parent with active items refused (ITEM_HAS_CHILDREN) · Load or save failure with reference.</w:t>
            </w:r>
          </w:p>
        </w:tc>
      </w:tr>
    </w:tbl>
    <w:p>
      <w:pPr>
        <w:spacing w:after="120"/>
      </w:pPr>
    </w:p>
    <w:p>
      <w:pPr>
        <w:pStyle w:val="Heading2"/>
      </w:pPr>
      <w:bookmarkStart w:name="h31" w:id="31"/>
      <w:r>
        <w:t xml:space="preserve">12.16 Blocks (M01-AD-15)</w:t>
      </w:r>
      <w:bookmarkEnd w:id="31"/>
    </w:p>
    <w:p>
      <w:pPr>
        <w:spacing w:after="120" w:line="276"/>
      </w:pPr>
      <w:r>
        <w:t xml:space="preserve">A staff screen of the Operations Console (M15), in the shared console shell, for rate-limit blocks (M01-2 RTL-005). The Rate limits screen (Section 12.7) shows only a count of blocks per policy.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Specification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and Admin (blocks.view, blocks.manage). Other roles: no access.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it shows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row per current block: key (visitor IP or device, account ID or API key), key type, kind — </w:t>
            </w:r>
            <w:r>
              <w:rPr>
                <w:sz w:val="19"/>
                <w:szCs w:val="19"/>
              </w:rPr>
              <w:t xml:space="preserve">Automatic</w:t>
            </w:r>
            <w:r>
              <w:rPr>
                <w:sz w:val="19"/>
                <w:szCs w:val="19"/>
              </w:rPr>
              <w:t xml:space="preserve"> (set by the rate limiter after repeated breaches, with the policy that caused it) or </w:t>
            </w:r>
            <w:r>
              <w:rPr>
                <w:sz w:val="19"/>
                <w:szCs w:val="19"/>
              </w:rPr>
              <w:t xml:space="preserve">Permanent</w:t>
            </w:r>
            <w:r>
              <w:rPr>
                <w:sz w:val="19"/>
                <w:szCs w:val="19"/>
              </w:rPr>
              <w:t xml:space="preserve"> (set by staff) — until (a time, or “Permanent”), reason, set by (System or the staff member) and set at. Account keys show the account ID with a </w:t>
            </w:r>
            <w:r>
              <w:rPr>
                <w:sz w:val="19"/>
                <w:szCs w:val="19"/>
              </w:rPr>
              <w:t xml:space="preserve">View account</w:t>
            </w:r>
            <w:r>
              <w:rPr>
                <w:sz w:val="19"/>
                <w:szCs w:val="19"/>
              </w:rPr>
              <w:t xml:space="preserve"> link to account lookup (M02-AD-01); no names, phone numbers or emails on this screen. Filters: key type, kind, module; search by key. Lifted and ended blocks leave the list; the audit log keeps them.</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Block a key</w:t>
            </w:r>
            <w:r>
              <w:rPr>
                <w:sz w:val="19"/>
                <w:szCs w:val="19"/>
              </w:rPr>
              <w:t xml:space="preserve"> (key type, key, reason — required; a staff block is permanent and covers every action) · </w:t>
            </w:r>
            <w:r>
              <w:rPr>
                <w:sz w:val="19"/>
                <w:szCs w:val="19"/>
              </w:rPr>
              <w:t xml:space="preserve">Lift</w:t>
            </w:r>
            <w:r>
              <w:rPr>
                <w:sz w:val="19"/>
                <w:szCs w:val="19"/>
              </w:rPr>
              <w:t xml:space="preserve"> a block (reason required). Every block and lift is written to the audit log with its reason.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“Blocked. Requests from {key} are refused until the block is lifted.” · “Block lifted.” · “Automatic blocks end by themselves at {time}. Lift one only if it was a mistake.”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blocks right now.”</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 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reason is required.” · “This key is already blocked.” (KEY_ALREADY_BLOCKED) · “Enter a valid {key type}.” · Load or save failure with reference.</w:t>
            </w:r>
          </w:p>
        </w:tc>
      </w:tr>
    </w:tbl>
    <w:p>
      <w:pPr>
        <w:spacing w:after="12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M01-6 UX-UI Specification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a8bf5bdd8cb1c0ec8f8d498ea3c1ac39cd6509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M01-6 UX-UI Specification</dc:title>
  <dc:creator>MRIDA INFRA AND PLANTATIONS LLP</dc:creator>
  <cp:lastModifiedBy>Un-named</cp:lastModifiedBy>
  <cp:revision>1</cp:revision>
  <dcterms:created xsi:type="dcterms:W3CDTF">2026-09-29T03:31:14.556Z</dcterms:created>
  <dcterms:modified xsi:type="dcterms:W3CDTF">2026-09-29T03:31:14.556Z</dcterms:modified>
</cp:coreProperties>
</file>

<file path=docProps/custom.xml><?xml version="1.0" encoding="utf-8"?>
<Properties xmlns="http://schemas.openxmlformats.org/officeDocument/2006/custom-properties" xmlns:vt="http://schemas.openxmlformats.org/officeDocument/2006/docPropsVTypes"/>
</file>