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Success Checklist</w:t>
      </w:r>
    </w:p>
    <w:p>
      <w:pPr>
        <w:spacing w:after="1400" w:before="200"/>
      </w:pPr>
      <w:r>
        <w:rPr>
          <w:i/>
          <w:iCs/>
          <w:color w:val="6B6B6B"/>
          <w:sz w:val="24"/>
          <w:szCs w:val="24"/>
        </w:rPr>
        <w:t xml:space="preserve">Module 1 — Platform Foundation · M01-8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M01-8 Success Checklist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 (release R1)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tech lead, QA</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(PRD-FND, PRD-CMP) · HLD · other M01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How to use this checklist</w:t>
        </w:r>
      </w:hyperlink>
      <w:r>
        <w:rPr>
          <w:b/>
          <w:bCs/>
          <w:sz w:val="21"/>
          <w:szCs w:val="21"/>
        </w:rPr>
        <w:tab/>
        <w:t xml:space="preserve">2</w:t>
      </w:r>
    </w:p>
    <w:p>
      <w:pPr>
        <w:tabs>
          <w:tab w:val="right" w:pos="9638" w:leader="dot"/>
        </w:tabs>
        <w:spacing w:after="30" w:before="100"/>
        <w:ind w:left="0"/>
      </w:pPr>
      <w:hyperlink w:history="1" w:anchor="h2">
        <w:r>
          <w:rPr>
            <w:b/>
            <w:bCs/>
            <w:color w:val="5B3A1E"/>
            <w:sz w:val="21"/>
            <w:szCs w:val="21"/>
          </w:rPr>
          <w:t xml:space="preserve">2. Functional checks</w:t>
        </w:r>
      </w:hyperlink>
      <w:r>
        <w:rPr>
          <w:b/>
          <w:bCs/>
          <w:sz w:val="21"/>
          <w:szCs w:val="21"/>
        </w:rPr>
        <w:tab/>
        <w:t xml:space="preserve">2</w:t>
      </w:r>
    </w:p>
    <w:p>
      <w:pPr>
        <w:tabs>
          <w:tab w:val="right" w:pos="9638" w:leader="dot"/>
        </w:tabs>
        <w:spacing w:after="30" w:before="100"/>
        <w:ind w:left="0"/>
      </w:pPr>
      <w:hyperlink w:history="1" w:anchor="h3">
        <w:r>
          <w:rPr>
            <w:b/>
            <w:bCs/>
            <w:color w:val="5B3A1E"/>
            <w:sz w:val="21"/>
            <w:szCs w:val="21"/>
          </w:rPr>
          <w:t xml:space="preserve">3. Global Marketplace Review</w:t>
        </w:r>
      </w:hyperlink>
      <w:r>
        <w:rPr>
          <w:b/>
          <w:bCs/>
          <w:sz w:val="21"/>
          <w:szCs w:val="21"/>
        </w:rPr>
        <w:tab/>
        <w:t xml:space="preserve">5</w:t>
      </w:r>
    </w:p>
    <w:p>
      <w:pPr>
        <w:tabs>
          <w:tab w:val="right" w:pos="9638" w:leader="dot"/>
        </w:tabs>
        <w:spacing w:after="30" w:before="100"/>
        <w:ind w:left="0"/>
      </w:pPr>
      <w:hyperlink w:history="1" w:anchor="h4">
        <w:r>
          <w:rPr>
            <w:b/>
            <w:bCs/>
            <w:color w:val="5B3A1E"/>
            <w:sz w:val="21"/>
            <w:szCs w:val="21"/>
          </w:rPr>
          <w:t xml:space="preserve">4. Technical and operational checks</w:t>
        </w:r>
      </w:hyperlink>
      <w:r>
        <w:rPr>
          <w:b/>
          <w:bCs/>
          <w:sz w:val="21"/>
          <w:szCs w:val="21"/>
        </w:rPr>
        <w:tab/>
        <w:t xml:space="preserve">5</w:t>
      </w:r>
    </w:p>
    <w:p>
      <w:pPr>
        <w:tabs>
          <w:tab w:val="right" w:pos="9638" w:leader="dot"/>
        </w:tabs>
        <w:spacing w:after="30" w:before="0"/>
        <w:ind w:left="360"/>
      </w:pPr>
      <w:hyperlink w:history="1" w:anchor="h5">
        <w:r>
          <w:rPr>
            <w:b w:val="false"/>
            <w:bCs w:val="false"/>
            <w:color w:val="262626"/>
            <w:sz w:val="19"/>
            <w:szCs w:val="19"/>
          </w:rPr>
          <w:t xml:space="preserve">4.1 R1 launch gate — items owned by Module 1</w:t>
        </w:r>
      </w:hyperlink>
      <w:r>
        <w:rPr>
          <w:b w:val="false"/>
          <w:bCs w:val="false"/>
          <w:sz w:val="19"/>
          <w:szCs w:val="19"/>
        </w:rPr>
        <w:tab/>
        <w:t xml:space="preserve">6</w:t>
      </w:r>
    </w:p>
    <w:p>
      <w:pPr>
        <w:tabs>
          <w:tab w:val="right" w:pos="9638" w:leader="dot"/>
        </w:tabs>
        <w:spacing w:after="30" w:before="100"/>
        <w:ind w:left="0"/>
      </w:pPr>
      <w:hyperlink w:history="1" w:anchor="h6">
        <w:r>
          <w:rPr>
            <w:b/>
            <w:bCs/>
            <w:color w:val="5B3A1E"/>
            <w:sz w:val="21"/>
            <w:szCs w:val="21"/>
          </w:rPr>
          <w:t xml:space="preserve">5. Documentation checks</w:t>
        </w:r>
      </w:hyperlink>
      <w:r>
        <w:rPr>
          <w:b/>
          <w:bCs/>
          <w:sz w:val="21"/>
          <w:szCs w:val="21"/>
        </w:rPr>
        <w:tab/>
        <w:t xml:space="preserve">6</w:t>
      </w:r>
    </w:p>
    <w:p>
      <w:pPr>
        <w:tabs>
          <w:tab w:val="right" w:pos="9638" w:leader="dot"/>
        </w:tabs>
        <w:spacing w:after="30" w:before="100"/>
        <w:ind w:left="0"/>
      </w:pPr>
      <w:hyperlink w:history="1" w:anchor="h7">
        <w:r>
          <w:rPr>
            <w:b/>
            <w:bCs/>
            <w:color w:val="5B3A1E"/>
            <w:sz w:val="21"/>
            <w:szCs w:val="21"/>
          </w:rPr>
          <w:t xml:space="preserve">6. Sign-off</w:t>
        </w:r>
      </w:hyperlink>
      <w:r>
        <w:rPr>
          <w:b/>
          <w:bCs/>
          <w:sz w:val="21"/>
          <w:szCs w:val="21"/>
        </w:rPr>
        <w:tab/>
        <w:t xml:space="preserve">7</w:t>
      </w:r>
    </w:p>
    <w:p>
      <w:pPr>
        <w:pStyle w:val="Heading1"/>
        <w:spacing w:after="200" w:before="360"/>
      </w:pPr>
      <w:bookmarkStart w:name="h1" w:id="1"/>
      <w:r>
        <w:t xml:space="preserve">1. How to use this checklist</w:t>
      </w:r>
      <w:bookmarkEnd w:id="1"/>
    </w:p>
    <w:p>
      <w:pPr>
        <w:spacing w:after="120" w:line="276"/>
      </w:pPr>
      <w:r>
        <w:t xml:space="preserve">Module 1 is “done” only when every check below is ticked. The product owner and tech lead sign at the end. Evidence (test report, screenshots, dashboards) is linked in the team tool.</w:t>
      </w:r>
    </w:p>
    <w:p>
      <w:pPr>
        <w:pStyle w:val="Heading1"/>
        <w:spacing w:after="200" w:before="360"/>
      </w:pPr>
      <w:bookmarkStart w:name="h2" w:id="2"/>
      <w:r>
        <w:t xml:space="preserve">2. Functional checks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Photos: JPG, PNG, WEBP and iPhone (HEIC) photos upload and display correctly on web and mobile browsers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Test cases M01-TC-001 to 009 passed</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 location data is removed from every public photo variant, and at upload for every purpose that does not need a check</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Download public variants; no GPS data; M01-TC-195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Documents are private; only the owner gets a signed link; staff use the M03 watermarked viewer; every view is logged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M01-TC-010, 011, 163 (PDF, JPG, PNG, HEIC / HEIF, WEBP), 201; audit records present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video per listing, ≤ 60 s, converted, reviewed by a moderator, muted by default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M01-TC-012 to 017</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 allowance follows plan settings (2 for free plans and farmers by default)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M01-TC-014</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file is scanned before use; test virus is rejected; unused uploads are cleaned up; large uploads resume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M01-TC-018 to 020, M01-TC-165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Prices are metric; tola (11.66 g / oil 12 ml), mithqal 4.25 g, seer, maund show as helpers; bigha, katha and lessa by state convert correctly</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M01-TC-021 to 028, 189</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Missing translations fall back to English; right-to-left layout works; IST business-hours timers are correct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M01-TC-029, 030, 035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Indian and international number formats and date format work and can be switched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M01-TC-031 to 034</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Page addresses, store web addresses made from the business name (also from names in other scripts), redirects and noindex rules work; the address is stored once (url_slugs)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M01-TC-036 to 040, 203</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 log records required actions, is locked, role-scoped, and searches / exports are logged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M01-TC-041 to 047</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Configuration changes apply within 60 s; safe defaults work; feature switches target correctly</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M01-TC-048 to 050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Events and jobs are reliable (no loss, retries, dead list, backlog alert)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M01-TC-051 to 053</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Retention job and legal hold work</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M01-TC-054, 055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Cookie banner: nothing tracked before consent; equal buttons; change any time; saved to account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M01-TC-056 to 060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Guide price, Country table, phone / name / address formats, scripts, setting overrides and trade terms work</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M01-TC-068 to 077, 099, 208</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Photos with contact details or QR codes are held; suspected copies flagged (they stay visible); private location only for staff with photo_location.view, every view logged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M01-TC-078 to 083, 200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 limits work, including plan overrides, blocks and store-down behaviour; signed-in users are limited per account; visitors get a challenge before a block</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M01-TC-084 to 087, 197</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Platform setup and operations cases pass (accounts, infrastructure code, pipeline, switches, no production data, configuration export, file purposes, rounding, currency display, scripts, one site, sitemaps, audit archive, scheduler, retention periods, banner, API contract, dashboards, security logs, Country table, guide currencies, limits, keys, under-attack mode)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M01-TC-100 to 125</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rules work: idempotency keys, rate-limit headers, cursor paging, deprecation headers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M01-TC-131 to 134</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Settings precedence, publish with approval and rollback, edit conflicts and the full settings API (approve, reject, schedule, cancel, roll back) work</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M01-TC-098, 135 to 137, 196</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Processing and application logs kept as required; cookie-free KPI counts; holiday calendar and calendar-hour legal timers; reserved names; security contact; size limits at storage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M01-TC-138 to 145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gateway: only route to AI, data rule, call log, budgets, labels and no AI-only decisions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M01-TC-146 to 150, 164</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channel settings (OTP channel order, sign-in methods, SMS sender name registered (yes / no), daily OTP cost cap) change without a deploy and M02 uses them; cap 0 for countries not open for sign-up and the global cap work</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M01-TC-162, 198</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and settings screens (M01-6 Section 12) work: common settings pattern (preview impact, reason, second approver for high impact, publish now or scheduled, history, rollback with approval, edit conflict, import from staging), settings editor, feature switches, Country table, reserved names, holiday calendar, rate limits, AI usage and budgets, audit log viewer; each role sees only what M01-6 Section 12 allows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M01-TC-166 to 181</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Two-level approval works (high impact → a Super Admin who is not the editor; other → any other Admin who is not the editor; M01-6 Section 12.1); Finance drafts AI budget changes and sees them under My drafts; the legal hold, failed jobs, retention policies, units and conversion factors (with state land units) and photo location view screens work (M01-6 Sections 12.10–12.14); starting values are loaded and configurable; face-blurred public copies are made for farm-visit and business-location photos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M01-TC-182 to 193, 199</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Emergency path works: a production feature is switched off (or under-attack mode on) at once with a reason, all Super Admins are alerted and a second Super Admin reviews within 24 hours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M01-TC-194</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Simple lists (M01-AD-14, M01-6 Section 12.15) work: the four launch groups (site_type, link_platform, capacity_unit, service_technique); add, rename, reorder, parent and retire items with the common settings pattern; keys never change; retired items are kept on existing records but no longer offered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M01-TC-205 to 207</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Uploads, cookie choices and user pages checked in the screen review work: video size limit, cookie choices one by one and asked again, account activity filters, maintenance and offline pages, language and time zone, and the settings that had no test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M01-TC-209 to 216</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screen filters, search and edits checked in the screen review work (Country table fields, reserved names, holiday calendar, rate limits, AI usage, legal hold, failed jobs, retention, simple lists, Add unit); job errors hold no personal data</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M01-TC-217 to 226</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Maintenance mode works: a Super Admin starts full or read-only maintenance at once (reviewed by a second Super Admin) or plans it with approval and a user notice; one Super Admin ends it; background work pauses and resumes; the Blocks screen and the Exchange rates tab work</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M01-TC-227 to 238</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setting in M01-2 Section 18 exists in configuration with its default and level, and no other Module 1 setting exists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Configuration export compared with the Settings sheet of the registers workbook</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3" w:id="3"/>
      <w:r>
        <w:t xml:space="preserve">3. Global Marketplace Review</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8 checks in M01-1 Section 5 are answered and reviewed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and tech lead review</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Handover list (M01-1 Section 6) confirmed by the owners of M02–M20</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owners’ sign-off</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and acts table (M01-1 Section 7) reviewed by counsel</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note</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4" w:id="4"/>
      <w:r>
        <w:t xml:space="preserve">4. Technical and operational checks</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Development, staging and production run in separate AWS accounts, built from infrastructure code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 review of IaC repository</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Pipeline runs tests and security scans; migrations are a separate step; production needs approval</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Pipeline run history</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Test sites use only made-up data (production data never copied, not even anonymised), are locked, send no real messages, use test payments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M01-TC-061, 062, 104</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Demo data set loads with all categories and roles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M01-TC-063</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errors use the standard format with request ID; rate limits work; error pages live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M01-TC-064 to 067</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Monitoring dashboards and alerts live with the 12 starting alert thresholds (M01-1 Section 6.3 (d)); real-user monitoring live; security logs kept ≥ 180 days in India</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Dashboard screenshots; alert settings; M01-TC-204; log retention setting</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Continuous backups with point-in-time restore; files copied to Hyderabad; warm standby and DR plan in place; white-label ready</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M01-TC-126, 127, 130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Performance targets met (photo &lt; 10 s, video &lt; 5 min; LCP ≤ 2.5 s on 4G in India and ≤ 3 s from Dubai and Singapore; INP ≤ 200 ms; CLS ≤ 0.1; API reads ≤ 300 ms and writes ≤ 800 ms; 5xx &lt; 0.5 %; first view on phones ≤ 1 MB; usable on a 2 GB Android phone)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Performance test report (M01-7 Section 12)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Firewall, bot and anti-scraping rules, blocked-country page, security headers and no contact details in page code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M01-TC-088 to 092</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Clocks use NIC / NPL or AWS Time Sync time (counsel C11); CERT-In incident drill done; keys and secrets rotate automatically</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M01-TC-093, 094; rotation settings</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Speed checks abroad, cloud cost alerts and status page live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M01-TC-095 to 097; status page URL</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pack passed: upload slots bound to the account, checksum after scan, second approval for high-impact settings, no open redirects, pixel-flood images rejected, CSV exports escaped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M01-TC-151 to 156</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Accessibility and network pack passed: automatic axe checks, keyboard-only upload, screen-reader progress, 44 px targets on touch screens (48 px in farmer mode), slow-3G upload resume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M01-TC-157 to 161</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Region failover drill passed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M01-TC-129; drill report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2"/>
      </w:pPr>
      <w:bookmarkStart w:name="h5" w:id="5"/>
      <w:r>
        <w:t xml:space="preserve">4.1 R1 launch gate — items owned by Module 1</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critical findings against the CIS AWS Foundations Benchmark in any account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Hub report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“Report a security issue” page and /.well-known/security.txt live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M01-TC-144; page URLs</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Sanctioned-country list set in the Country table (counsel C7) and blocked at the edge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note; M01-TC-089</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Restore drill passed (Hyderabad copy restored into an isolated account; RPO and RTO timed)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M01-TC-128; drill report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Warm standby running in Hyderabad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M01-TC-127; replica lag dashboard</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Threat model done and its controls tested (M01-3 Section 13)</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Tech lead review; M01-TC-151 to 156</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gateway budgets set for every module and purpose that uses AI</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Configuration export; M01-TC-149</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Cloud and AI budgets set from the tech lead’s AWS estimate; global OTP cost cap set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Configuration export; M01-1 Section 11, items 10 and 11</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 periods confirmed by counsel and loaded in the retention policies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note; configuration export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First holiday calendar and first reserved-name list approved and published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Configuration export; M01-TC-176, 202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6" w:id="6"/>
      <w:r>
        <w:t xml:space="preserve">5. Documentation checks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M01-1 to M01-8 and the diagram pack are up to date with what was built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review</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OpenAPI contract includes all Module 1 endpoints and error codes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Contract file reviewed</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 updated for Module 1 decisions (units, photos, video)</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 sync done</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 limits of Module 1 registered and listed in M01-3 Section 10</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Configuration export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M01-5 (all 37 Module 1 tables) passes the 12-point module database checklist of the Master Database Design; edit-conflict test passed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 review; M01-TC-098, 137</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Cross-module contracts (M01-1 Section 6.3) complete and in the registers workbook; every admin screen has a code, route, permission and test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Cross-Module Registers workbook; traceability check (Cross-Module Standards, Section 11.2)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 items closed or moved: bigha / katha / lessa state table, retention periods, video allowance per plan, exchange-rate provider, cloud and AI budgets (tech lead estimate), global OTP cap, point-in-time restore window, counsel questions (including the time source), final texts from Module 17</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Open-items list (M01-1 Section 11): every item closed or moved to its owner</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7" w:id="7"/>
      <w:r>
        <w:t xml:space="preserve">6. Sign-off</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2120"/>
        <w:gridCol w:w="1736"/>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Role</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Name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Signature</w:t>
            </w:r>
          </w:p>
        </w:tc>
        <w:tc>
          <w:tcPr>
            <w:tcW w:type="dxa" w:w="173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Date</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Tech lead</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QA lead</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M01-8 Success Checklist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M01-8 Success Checklist</dc:title>
  <dc:creator>MRIDA INFRA AND PLANTATIONS LLP</dc:creator>
  <cp:lastModifiedBy>Un-named</cp:lastModifiedBy>
  <cp:revision>1</cp:revision>
  <dcterms:created xsi:type="dcterms:W3CDTF">2026-09-29T03:12:32.628Z</dcterms:created>
  <dcterms:modified xsi:type="dcterms:W3CDTF">2026-09-29T03:12:32.628Z</dcterms:modified>
</cp:coreProperties>
</file>

<file path=docProps/custom.xml><?xml version="1.0" encoding="utf-8"?>
<Properties xmlns="http://schemas.openxmlformats.org/officeDocument/2006/custom-properties" xmlns:vt="http://schemas.openxmlformats.org/officeDocument/2006/docPropsVTypes"/>
</file>