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UX-UI Specification</w:t>
      </w:r>
    </w:p>
    <w:p>
      <w:pPr>
        <w:spacing w:after="1400" w:before="200"/>
      </w:pPr>
      <w:r>
        <w:rPr>
          <w:i/>
          <w:iCs/>
          <w:color w:val="6B6B6B"/>
          <w:sz w:val="24"/>
          <w:szCs w:val="24"/>
        </w:rPr>
        <w:t xml:space="preserve">Module 1 — Platform Foundation · M01-6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M01-6 UX-UI Specification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Module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 Platform Foundation (release R1)</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UX/UI designers, frontend developers, product owner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(PRD-FND, PRD-CMP) · HLD · other M01 documents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UX lead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24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Purpose</w:t>
        </w:r>
      </w:hyperlink>
      <w:r>
        <w:rPr>
          <w:b/>
          <w:bCs/>
          <w:sz w:val="21"/>
          <w:szCs w:val="21"/>
        </w:rPr>
        <w:tab/>
        <w:t xml:space="preserve">2</w:t>
      </w:r>
    </w:p>
    <w:p>
      <w:pPr>
        <w:tabs>
          <w:tab w:val="right" w:pos="9638" w:leader="dot"/>
        </w:tabs>
        <w:spacing w:after="30" w:before="100"/>
        <w:ind w:left="0"/>
      </w:pPr>
      <w:hyperlink w:history="1" w:anchor="h2">
        <w:r>
          <w:rPr>
            <w:b/>
            <w:bCs/>
            <w:color w:val="5B3A1E"/>
            <w:sz w:val="21"/>
            <w:szCs w:val="21"/>
          </w:rPr>
          <w:t xml:space="preserve">2. Design Principles</w:t>
        </w:r>
      </w:hyperlink>
      <w:r>
        <w:rPr>
          <w:b/>
          <w:bCs/>
          <w:sz w:val="21"/>
          <w:szCs w:val="21"/>
        </w:rPr>
        <w:tab/>
        <w:t xml:space="preserve">2</w:t>
      </w:r>
    </w:p>
    <w:p>
      <w:pPr>
        <w:tabs>
          <w:tab w:val="right" w:pos="9638" w:leader="dot"/>
        </w:tabs>
        <w:spacing w:after="30" w:before="100"/>
        <w:ind w:left="0"/>
      </w:pPr>
      <w:hyperlink w:history="1" w:anchor="h3">
        <w:r>
          <w:rPr>
            <w:b/>
            <w:bCs/>
            <w:color w:val="5B3A1E"/>
            <w:sz w:val="21"/>
            <w:szCs w:val="21"/>
          </w:rPr>
          <w:t xml:space="preserve">3. Photo Uploader</w:t>
        </w:r>
      </w:hyperlink>
      <w:r>
        <w:rPr>
          <w:b/>
          <w:bCs/>
          <w:sz w:val="21"/>
          <w:szCs w:val="21"/>
        </w:rPr>
        <w:tab/>
        <w:t xml:space="preserve">3</w:t>
      </w:r>
    </w:p>
    <w:p>
      <w:pPr>
        <w:tabs>
          <w:tab w:val="right" w:pos="9638" w:leader="dot"/>
        </w:tabs>
        <w:spacing w:after="30" w:before="0"/>
        <w:ind w:left="360"/>
      </w:pPr>
      <w:hyperlink w:history="1" w:anchor="h4">
        <w:r>
          <w:rPr>
            <w:b w:val="false"/>
            <w:bCs w:val="false"/>
            <w:color w:val="262626"/>
            <w:sz w:val="19"/>
            <w:szCs w:val="19"/>
          </w:rPr>
          <w:t xml:space="preserve">3.1 Farmer simple mode: photo and video upload</w:t>
        </w:r>
      </w:hyperlink>
      <w:r>
        <w:rPr>
          <w:b w:val="false"/>
          <w:bCs w:val="false"/>
          <w:sz w:val="19"/>
          <w:szCs w:val="19"/>
        </w:rPr>
        <w:tab/>
        <w:t xml:space="preserve">3</w:t>
      </w:r>
    </w:p>
    <w:p>
      <w:pPr>
        <w:tabs>
          <w:tab w:val="right" w:pos="9638" w:leader="dot"/>
        </w:tabs>
        <w:spacing w:after="30" w:before="100"/>
        <w:ind w:left="0"/>
      </w:pPr>
      <w:hyperlink w:history="1" w:anchor="h5">
        <w:r>
          <w:rPr>
            <w:b/>
            <w:bCs/>
            <w:color w:val="5B3A1E"/>
            <w:sz w:val="21"/>
            <w:szCs w:val="21"/>
          </w:rPr>
          <w:t xml:space="preserve">4. Video Uploader</w:t>
        </w:r>
      </w:hyperlink>
      <w:r>
        <w:rPr>
          <w:b/>
          <w:bCs/>
          <w:sz w:val="21"/>
          <w:szCs w:val="21"/>
        </w:rPr>
        <w:tab/>
        <w:t xml:space="preserve">4</w:t>
      </w:r>
    </w:p>
    <w:p>
      <w:pPr>
        <w:tabs>
          <w:tab w:val="right" w:pos="9638" w:leader="dot"/>
        </w:tabs>
        <w:spacing w:after="30" w:before="100"/>
        <w:ind w:left="0"/>
      </w:pPr>
      <w:hyperlink w:history="1" w:anchor="h6">
        <w:r>
          <w:rPr>
            <w:b/>
            <w:bCs/>
            <w:color w:val="5B3A1E"/>
            <w:sz w:val="21"/>
            <w:szCs w:val="21"/>
          </w:rPr>
          <w:t xml:space="preserve">5. Document Uploader</w:t>
        </w:r>
      </w:hyperlink>
      <w:r>
        <w:rPr>
          <w:b/>
          <w:bCs/>
          <w:sz w:val="21"/>
          <w:szCs w:val="21"/>
        </w:rPr>
        <w:tab/>
        <w:t xml:space="preserve">4</w:t>
      </w:r>
    </w:p>
    <w:p>
      <w:pPr>
        <w:tabs>
          <w:tab w:val="right" w:pos="9638" w:leader="dot"/>
        </w:tabs>
        <w:spacing w:after="30" w:before="100"/>
        <w:ind w:left="0"/>
      </w:pPr>
      <w:hyperlink w:history="1" w:anchor="h7">
        <w:r>
          <w:rPr>
            <w:b/>
            <w:bCs/>
            <w:color w:val="5B3A1E"/>
            <w:sz w:val="21"/>
            <w:szCs w:val="21"/>
          </w:rPr>
          <w:t xml:space="preserve">6. Unit Picker and Price Display</w:t>
        </w:r>
      </w:hyperlink>
      <w:r>
        <w:rPr>
          <w:b/>
          <w:bCs/>
          <w:sz w:val="21"/>
          <w:szCs w:val="21"/>
        </w:rPr>
        <w:tab/>
        <w:t xml:space="preserve">4</w:t>
      </w:r>
    </w:p>
    <w:p>
      <w:pPr>
        <w:tabs>
          <w:tab w:val="right" w:pos="9638" w:leader="dot"/>
        </w:tabs>
        <w:spacing w:after="30" w:before="100"/>
        <w:ind w:left="0"/>
      </w:pPr>
      <w:hyperlink w:history="1" w:anchor="h8">
        <w:r>
          <w:rPr>
            <w:b/>
            <w:bCs/>
            <w:color w:val="5B3A1E"/>
            <w:sz w:val="21"/>
            <w:szCs w:val="21"/>
          </w:rPr>
          <w:t xml:space="preserve">7. Numbers, Dates and Language</w:t>
        </w:r>
      </w:hyperlink>
      <w:r>
        <w:rPr>
          <w:b/>
          <w:bCs/>
          <w:sz w:val="21"/>
          <w:szCs w:val="21"/>
        </w:rPr>
        <w:tab/>
        <w:t xml:space="preserve">5</w:t>
      </w:r>
    </w:p>
    <w:p>
      <w:pPr>
        <w:tabs>
          <w:tab w:val="right" w:pos="9638" w:leader="dot"/>
        </w:tabs>
        <w:spacing w:after="30" w:before="100"/>
        <w:ind w:left="0"/>
      </w:pPr>
      <w:hyperlink w:history="1" w:anchor="h9">
        <w:r>
          <w:rPr>
            <w:b/>
            <w:bCs/>
            <w:color w:val="5B3A1E"/>
            <w:sz w:val="21"/>
            <w:szCs w:val="21"/>
          </w:rPr>
          <w:t xml:space="preserve">8. Cookie Banner</w:t>
        </w:r>
      </w:hyperlink>
      <w:r>
        <w:rPr>
          <w:b/>
          <w:bCs/>
          <w:sz w:val="21"/>
          <w:szCs w:val="21"/>
        </w:rPr>
        <w:tab/>
        <w:t xml:space="preserve">5</w:t>
      </w:r>
    </w:p>
    <w:p>
      <w:pPr>
        <w:tabs>
          <w:tab w:val="right" w:pos="9638" w:leader="dot"/>
        </w:tabs>
        <w:spacing w:after="30" w:before="100"/>
        <w:ind w:left="0"/>
      </w:pPr>
      <w:hyperlink w:history="1" w:anchor="h10">
        <w:r>
          <w:rPr>
            <w:b/>
            <w:bCs/>
            <w:color w:val="5B3A1E"/>
            <w:sz w:val="21"/>
            <w:szCs w:val="21"/>
          </w:rPr>
          <w:t xml:space="preserve">9. My Account Activity</w:t>
        </w:r>
      </w:hyperlink>
      <w:r>
        <w:rPr>
          <w:b/>
          <w:bCs/>
          <w:sz w:val="21"/>
          <w:szCs w:val="21"/>
        </w:rPr>
        <w:tab/>
        <w:t xml:space="preserve">6</w:t>
      </w:r>
    </w:p>
    <w:p>
      <w:pPr>
        <w:tabs>
          <w:tab w:val="right" w:pos="9638" w:leader="dot"/>
        </w:tabs>
        <w:spacing w:after="30" w:before="100"/>
        <w:ind w:left="0"/>
      </w:pPr>
      <w:hyperlink w:history="1" w:anchor="h11">
        <w:r>
          <w:rPr>
            <w:b/>
            <w:bCs/>
            <w:color w:val="5B3A1E"/>
            <w:sz w:val="21"/>
            <w:szCs w:val="21"/>
          </w:rPr>
          <w:t xml:space="preserve">10. Error and Status Pages</w:t>
        </w:r>
      </w:hyperlink>
      <w:r>
        <w:rPr>
          <w:b/>
          <w:bCs/>
          <w:sz w:val="21"/>
          <w:szCs w:val="21"/>
        </w:rPr>
        <w:tab/>
        <w:t xml:space="preserve">6</w:t>
      </w:r>
    </w:p>
    <w:p>
      <w:pPr>
        <w:tabs>
          <w:tab w:val="right" w:pos="9638" w:leader="dot"/>
        </w:tabs>
        <w:spacing w:after="30" w:before="100"/>
        <w:ind w:left="0"/>
      </w:pPr>
      <w:hyperlink w:history="1" w:anchor="h12">
        <w:r>
          <w:rPr>
            <w:b/>
            <w:bCs/>
            <w:color w:val="5B3A1E"/>
            <w:sz w:val="21"/>
            <w:szCs w:val="21"/>
          </w:rPr>
          <w:t xml:space="preserve">11. Accessibility</w:t>
        </w:r>
      </w:hyperlink>
      <w:r>
        <w:rPr>
          <w:b/>
          <w:bCs/>
          <w:sz w:val="21"/>
          <w:szCs w:val="21"/>
        </w:rPr>
        <w:tab/>
        <w:t xml:space="preserve">6</w:t>
      </w:r>
    </w:p>
    <w:p>
      <w:pPr>
        <w:tabs>
          <w:tab w:val="right" w:pos="9638" w:leader="dot"/>
        </w:tabs>
        <w:spacing w:after="30" w:before="100"/>
        <w:ind w:left="0"/>
      </w:pPr>
      <w:hyperlink w:history="1" w:anchor="h13">
        <w:r>
          <w:rPr>
            <w:b/>
            <w:bCs/>
            <w:color w:val="5B3A1E"/>
            <w:sz w:val="21"/>
            <w:szCs w:val="21"/>
          </w:rPr>
          <w:t xml:space="preserve">12. Staff and Settings Screens</w:t>
        </w:r>
      </w:hyperlink>
      <w:r>
        <w:rPr>
          <w:b/>
          <w:bCs/>
          <w:sz w:val="21"/>
          <w:szCs w:val="21"/>
        </w:rPr>
        <w:tab/>
        <w:t xml:space="preserve">6</w:t>
      </w:r>
    </w:p>
    <w:p>
      <w:pPr>
        <w:tabs>
          <w:tab w:val="right" w:pos="9638" w:leader="dot"/>
        </w:tabs>
        <w:spacing w:after="30" w:before="0"/>
        <w:ind w:left="360"/>
      </w:pPr>
      <w:hyperlink w:history="1" w:anchor="h14">
        <w:r>
          <w:rPr>
            <w:b w:val="false"/>
            <w:bCs w:val="false"/>
            <w:color w:val="262626"/>
            <w:sz w:val="19"/>
            <w:szCs w:val="19"/>
          </w:rPr>
          <w:t xml:space="preserve">12.1 Common settings pattern</w:t>
        </w:r>
      </w:hyperlink>
      <w:r>
        <w:rPr>
          <w:b w:val="false"/>
          <w:bCs w:val="false"/>
          <w:sz w:val="19"/>
          <w:szCs w:val="19"/>
        </w:rPr>
        <w:tab/>
        <w:t xml:space="preserve">7</w:t>
      </w:r>
    </w:p>
    <w:p>
      <w:pPr>
        <w:tabs>
          <w:tab w:val="right" w:pos="9638" w:leader="dot"/>
        </w:tabs>
        <w:spacing w:after="30" w:before="0"/>
        <w:ind w:left="360"/>
      </w:pPr>
      <w:hyperlink w:history="1" w:anchor="h15">
        <w:r>
          <w:rPr>
            <w:b w:val="false"/>
            <w:bCs w:val="false"/>
            <w:color w:val="262626"/>
            <w:sz w:val="19"/>
            <w:szCs w:val="19"/>
          </w:rPr>
          <w:t xml:space="preserve">12.2 Settings editor</w:t>
        </w:r>
      </w:hyperlink>
      <w:r>
        <w:rPr>
          <w:b w:val="false"/>
          <w:bCs w:val="false"/>
          <w:sz w:val="19"/>
          <w:szCs w:val="19"/>
        </w:rPr>
        <w:tab/>
        <w:t xml:space="preserve">9</w:t>
      </w:r>
    </w:p>
    <w:p>
      <w:pPr>
        <w:tabs>
          <w:tab w:val="right" w:pos="9638" w:leader="dot"/>
        </w:tabs>
        <w:spacing w:after="30" w:before="0"/>
        <w:ind w:left="360"/>
      </w:pPr>
      <w:hyperlink w:history="1" w:anchor="h16">
        <w:r>
          <w:rPr>
            <w:b w:val="false"/>
            <w:bCs w:val="false"/>
            <w:color w:val="262626"/>
            <w:sz w:val="19"/>
            <w:szCs w:val="19"/>
          </w:rPr>
          <w:t xml:space="preserve">12.3 Feature switches and overrides</w:t>
        </w:r>
      </w:hyperlink>
      <w:r>
        <w:rPr>
          <w:b w:val="false"/>
          <w:bCs w:val="false"/>
          <w:sz w:val="19"/>
          <w:szCs w:val="19"/>
        </w:rPr>
        <w:tab/>
        <w:t xml:space="preserve">9</w:t>
      </w:r>
    </w:p>
    <w:p>
      <w:pPr>
        <w:tabs>
          <w:tab w:val="right" w:pos="9638" w:leader="dot"/>
        </w:tabs>
        <w:spacing w:after="30" w:before="0"/>
        <w:ind w:left="360"/>
      </w:pPr>
      <w:hyperlink w:history="1" w:anchor="h17">
        <w:r>
          <w:rPr>
            <w:b w:val="false"/>
            <w:bCs w:val="false"/>
            <w:color w:val="262626"/>
            <w:sz w:val="19"/>
            <w:szCs w:val="19"/>
          </w:rPr>
          <w:t xml:space="preserve">12.4 Country table</w:t>
        </w:r>
      </w:hyperlink>
      <w:r>
        <w:rPr>
          <w:b w:val="false"/>
          <w:bCs w:val="false"/>
          <w:sz w:val="19"/>
          <w:szCs w:val="19"/>
        </w:rPr>
        <w:tab/>
        <w:t xml:space="preserve">10</w:t>
      </w:r>
    </w:p>
    <w:p>
      <w:pPr>
        <w:tabs>
          <w:tab w:val="right" w:pos="9638" w:leader="dot"/>
        </w:tabs>
        <w:spacing w:after="30" w:before="0"/>
        <w:ind w:left="360"/>
      </w:pPr>
      <w:hyperlink w:history="1" w:anchor="h18">
        <w:r>
          <w:rPr>
            <w:b w:val="false"/>
            <w:bCs w:val="false"/>
            <w:color w:val="262626"/>
            <w:sz w:val="19"/>
            <w:szCs w:val="19"/>
          </w:rPr>
          <w:t xml:space="preserve">12.5 Reserved names</w:t>
        </w:r>
      </w:hyperlink>
      <w:r>
        <w:rPr>
          <w:b w:val="false"/>
          <w:bCs w:val="false"/>
          <w:sz w:val="19"/>
          <w:szCs w:val="19"/>
        </w:rPr>
        <w:tab/>
        <w:t xml:space="preserve">10</w:t>
      </w:r>
    </w:p>
    <w:p>
      <w:pPr>
        <w:tabs>
          <w:tab w:val="right" w:pos="9638" w:leader="dot"/>
        </w:tabs>
        <w:spacing w:after="30" w:before="0"/>
        <w:ind w:left="360"/>
      </w:pPr>
      <w:hyperlink w:history="1" w:anchor="h19">
        <w:r>
          <w:rPr>
            <w:b w:val="false"/>
            <w:bCs w:val="false"/>
            <w:color w:val="262626"/>
            <w:sz w:val="19"/>
            <w:szCs w:val="19"/>
          </w:rPr>
          <w:t xml:space="preserve">12.6 Holiday calendar</w:t>
        </w:r>
      </w:hyperlink>
      <w:r>
        <w:rPr>
          <w:b w:val="false"/>
          <w:bCs w:val="false"/>
          <w:sz w:val="19"/>
          <w:szCs w:val="19"/>
        </w:rPr>
        <w:tab/>
        <w:t xml:space="preserve">11</w:t>
      </w:r>
    </w:p>
    <w:p>
      <w:pPr>
        <w:tabs>
          <w:tab w:val="right" w:pos="9638" w:leader="dot"/>
        </w:tabs>
        <w:spacing w:after="30" w:before="0"/>
        <w:ind w:left="360"/>
      </w:pPr>
      <w:hyperlink w:history="1" w:anchor="h20">
        <w:r>
          <w:rPr>
            <w:b w:val="false"/>
            <w:bCs w:val="false"/>
            <w:color w:val="262626"/>
            <w:sz w:val="19"/>
            <w:szCs w:val="19"/>
          </w:rPr>
          <w:t xml:space="preserve">12.7 Rate limits</w:t>
        </w:r>
      </w:hyperlink>
      <w:r>
        <w:rPr>
          <w:b w:val="false"/>
          <w:bCs w:val="false"/>
          <w:sz w:val="19"/>
          <w:szCs w:val="19"/>
        </w:rPr>
        <w:tab/>
        <w:t xml:space="preserve">11</w:t>
      </w:r>
    </w:p>
    <w:p>
      <w:pPr>
        <w:tabs>
          <w:tab w:val="right" w:pos="9638" w:leader="dot"/>
        </w:tabs>
        <w:spacing w:after="30" w:before="0"/>
        <w:ind w:left="360"/>
      </w:pPr>
      <w:hyperlink w:history="1" w:anchor="h21">
        <w:r>
          <w:rPr>
            <w:b w:val="false"/>
            <w:bCs w:val="false"/>
            <w:color w:val="262626"/>
            <w:sz w:val="19"/>
            <w:szCs w:val="19"/>
          </w:rPr>
          <w:t xml:space="preserve">12.8 AI usage and budgets</w:t>
        </w:r>
      </w:hyperlink>
      <w:r>
        <w:rPr>
          <w:b w:val="false"/>
          <w:bCs w:val="false"/>
          <w:sz w:val="19"/>
          <w:szCs w:val="19"/>
        </w:rPr>
        <w:tab/>
        <w:t xml:space="preserve">12</w:t>
      </w:r>
    </w:p>
    <w:p>
      <w:pPr>
        <w:tabs>
          <w:tab w:val="right" w:pos="9638" w:leader="dot"/>
        </w:tabs>
        <w:spacing w:after="30" w:before="0"/>
        <w:ind w:left="360"/>
      </w:pPr>
      <w:hyperlink w:history="1" w:anchor="h22">
        <w:r>
          <w:rPr>
            <w:b w:val="false"/>
            <w:bCs w:val="false"/>
            <w:color w:val="262626"/>
            <w:sz w:val="19"/>
            <w:szCs w:val="19"/>
          </w:rPr>
          <w:t xml:space="preserve">12.9 Audit log viewer</w:t>
        </w:r>
      </w:hyperlink>
      <w:r>
        <w:rPr>
          <w:b w:val="false"/>
          <w:bCs w:val="false"/>
          <w:sz w:val="19"/>
          <w:szCs w:val="19"/>
        </w:rPr>
        <w:tab/>
        <w:t xml:space="preserve">12</w:t>
      </w:r>
    </w:p>
    <w:p>
      <w:pPr>
        <w:tabs>
          <w:tab w:val="right" w:pos="9638" w:leader="dot"/>
        </w:tabs>
        <w:spacing w:after="30" w:before="0"/>
        <w:ind w:left="360"/>
      </w:pPr>
      <w:hyperlink w:history="1" w:anchor="h23">
        <w:r>
          <w:rPr>
            <w:b w:val="false"/>
            <w:bCs w:val="false"/>
            <w:color w:val="262626"/>
            <w:sz w:val="19"/>
            <w:szCs w:val="19"/>
          </w:rPr>
          <w:t xml:space="preserve">12.10 Legal hold</w:t>
        </w:r>
      </w:hyperlink>
      <w:r>
        <w:rPr>
          <w:b w:val="false"/>
          <w:bCs w:val="false"/>
          <w:sz w:val="19"/>
          <w:szCs w:val="19"/>
        </w:rPr>
        <w:tab/>
        <w:t xml:space="preserve">13</w:t>
      </w:r>
    </w:p>
    <w:p>
      <w:pPr>
        <w:tabs>
          <w:tab w:val="right" w:pos="9638" w:leader="dot"/>
        </w:tabs>
        <w:spacing w:after="30" w:before="0"/>
        <w:ind w:left="360"/>
      </w:pPr>
      <w:hyperlink w:history="1" w:anchor="h24">
        <w:r>
          <w:rPr>
            <w:b w:val="false"/>
            <w:bCs w:val="false"/>
            <w:color w:val="262626"/>
            <w:sz w:val="19"/>
            <w:szCs w:val="19"/>
          </w:rPr>
          <w:t xml:space="preserve">12.11 Failed jobs</w:t>
        </w:r>
      </w:hyperlink>
      <w:r>
        <w:rPr>
          <w:b w:val="false"/>
          <w:bCs w:val="false"/>
          <w:sz w:val="19"/>
          <w:szCs w:val="19"/>
        </w:rPr>
        <w:tab/>
        <w:t xml:space="preserve">13</w:t>
      </w:r>
    </w:p>
    <w:p>
      <w:pPr>
        <w:tabs>
          <w:tab w:val="right" w:pos="9638" w:leader="dot"/>
        </w:tabs>
        <w:spacing w:after="30" w:before="0"/>
        <w:ind w:left="360"/>
      </w:pPr>
      <w:hyperlink w:history="1" w:anchor="h25">
        <w:r>
          <w:rPr>
            <w:b w:val="false"/>
            <w:bCs w:val="false"/>
            <w:color w:val="262626"/>
            <w:sz w:val="19"/>
            <w:szCs w:val="19"/>
          </w:rPr>
          <w:t xml:space="preserve">12.12 Retention policies</w:t>
        </w:r>
      </w:hyperlink>
      <w:r>
        <w:rPr>
          <w:b w:val="false"/>
          <w:bCs w:val="false"/>
          <w:sz w:val="19"/>
          <w:szCs w:val="19"/>
        </w:rPr>
        <w:tab/>
        <w:t xml:space="preserve">14</w:t>
      </w:r>
    </w:p>
    <w:p>
      <w:pPr>
        <w:tabs>
          <w:tab w:val="right" w:pos="9638" w:leader="dot"/>
        </w:tabs>
        <w:spacing w:after="30" w:before="0"/>
        <w:ind w:left="360"/>
      </w:pPr>
      <w:hyperlink w:history="1" w:anchor="h26">
        <w:r>
          <w:rPr>
            <w:b w:val="false"/>
            <w:bCs w:val="false"/>
            <w:color w:val="262626"/>
            <w:sz w:val="19"/>
            <w:szCs w:val="19"/>
          </w:rPr>
          <w:t xml:space="preserve">12.13 Units and conversion factors</w:t>
        </w:r>
      </w:hyperlink>
      <w:r>
        <w:rPr>
          <w:b w:val="false"/>
          <w:bCs w:val="false"/>
          <w:sz w:val="19"/>
          <w:szCs w:val="19"/>
        </w:rPr>
        <w:tab/>
        <w:t xml:space="preserve">14</w:t>
      </w:r>
    </w:p>
    <w:p>
      <w:pPr>
        <w:tabs>
          <w:tab w:val="right" w:pos="9638" w:leader="dot"/>
        </w:tabs>
        <w:spacing w:after="30" w:before="0"/>
        <w:ind w:left="360"/>
      </w:pPr>
      <w:hyperlink w:history="1" w:anchor="h27">
        <w:r>
          <w:rPr>
            <w:b w:val="false"/>
            <w:bCs w:val="false"/>
            <w:color w:val="262626"/>
            <w:sz w:val="19"/>
            <w:szCs w:val="19"/>
          </w:rPr>
          <w:t xml:space="preserve">12.14 Photo location view</w:t>
        </w:r>
      </w:hyperlink>
      <w:r>
        <w:rPr>
          <w:b w:val="false"/>
          <w:bCs w:val="false"/>
          <w:sz w:val="19"/>
          <w:szCs w:val="19"/>
        </w:rPr>
        <w:tab/>
        <w:t xml:space="preserve">15</w:t>
      </w:r>
    </w:p>
    <w:p>
      <w:pPr>
        <w:pStyle w:val="Heading1"/>
        <w:spacing w:after="200" w:before="360"/>
      </w:pPr>
      <w:bookmarkStart w:name="h1" w:id="1"/>
      <w:r>
        <w:t xml:space="preserve">1. Purpose</w:t>
      </w:r>
      <w:bookmarkEnd w:id="1"/>
    </w:p>
    <w:p>
      <w:pPr>
        <w:spacing w:after="120" w:line="276"/>
      </w:pPr>
      <w:r>
        <w:t xml:space="preserve">This specification defines the shared screens and components Module 1 provides to every other module, with their states and wording. Visual style (colours, fonts, spacing, components) comes from the UX/UI Foundation; this document defines behaviour and content.</w:t>
      </w:r>
    </w:p>
    <w:p>
      <w:pPr>
        <w:pStyle w:val="Heading1"/>
        <w:spacing w:after="200" w:before="360"/>
      </w:pPr>
      <w:bookmarkStart w:name="h2" w:id="2"/>
      <w:r>
        <w:t xml:space="preserve">2. Design Principles</w:t>
      </w:r>
      <w:bookmarkEnd w:id="2"/>
    </w:p>
    <w:p>
      <w:pPr>
        <w:spacing w:after="120" w:line="276"/>
      </w:pPr>
      <w:r>
        <w:t xml:space="preserve">Module 1 screens follow the design principles, tokens, components and writing guide of the </w:t>
      </w:r>
      <w:r>
        <w:rPr>
          <w:b/>
          <w:bCs/>
        </w:rPr>
        <w:t xml:space="preserve">UX/UI Foundation</w:t>
      </w:r>
      <w:r>
        <w:t xml:space="preserve"> (Sections 2–9), its farmer simple mode (Section 8.7), its accessibility checklist (Section 11, WCAG 2.2 AA) and its screen checklist for every module (Section 13). This document adds only the Module 1 components and their wording. Brand name, logo and colours always come from design tokens and configuration, never from a screen design (white-label, M01-2 ENV-012).</w:t>
      </w:r>
    </w:p>
    <w:p>
      <w:pPr>
        <w:pStyle w:val="Heading1"/>
        <w:spacing w:after="200" w:before="360"/>
      </w:pPr>
      <w:bookmarkStart w:name="h3" w:id="3"/>
      <w:r>
        <w:t xml:space="preserve">3. Photo Uploader</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tblHeader/>
        </w:trPr>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w:t>
            </w:r>
          </w:p>
        </w:tc>
        <w:tc>
          <w:tcPr>
            <w:tcW w:type="dxa" w:w="790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Box with camera icon: “Add photos (up to 10). JPG, PNG, WEBP or iPhone photos, max 15 MB each.” Buttons: Take photo · Choose from gallery (mobile) / Drop photos here or Browse (desktop).</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Uploading</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Thumbnail with progress ring and “Uploading 60%”; Cancel (×).</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Checking</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Thumbnail with “Checking…” (safety scan and processing).</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Ready</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Thumbnail; first one tagged “Cover”; drag handle to reorder; delete icon; counter “4 of 10”.</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Warning</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Amber badge: “This photo is small or blurry — buyers prefer clear photos.” Photo still accepted.</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Red message: “This file type isn’t supported” / “Photo is larger than 15 MB” / “This photo is too large to process” / “Upload failed — Retry”.</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Limit reached</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“You’ve added 10 photos, the maximum.” Add button disabled.</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Held for review</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Amber chip “Held — this photo seems to show a phone number, payment ID or QR code. Contact details aren’t allowed in photos. Our team will check it.” Button: Replace photo.</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Copied photo</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Only if moderation confirms: “This photo matches another seller’s photo. Please use your own photos.”</w:t>
            </w:r>
          </w:p>
        </w:tc>
      </w:tr>
    </w:tbl>
    <w:p>
      <w:pPr>
        <w:spacing w:after="120"/>
      </w:pPr>
    </w:p>
    <w:p>
      <w:pPr>
        <w:spacing w:after="120" w:line="276"/>
      </w:pPr>
      <w:r>
        <w:t xml:space="preserve">Small note under the uploader: “Location is never shown publicly. OudhTrade staff may use it to check origin.”</w:t>
      </w:r>
    </w:p>
    <w:p>
      <w:pPr>
        <w:spacing w:after="120" w:line="276"/>
      </w:pPr>
      <w:r>
        <w:t xml:space="preserve">Option below the photos: toggle “Add OudhTrade watermark to my photos” (off), with a small info icon explaining it helps stop copying.</w:t>
      </w:r>
    </w:p>
    <w:p>
      <w:pPr>
        <w:pStyle w:val="Heading2"/>
      </w:pPr>
      <w:bookmarkStart w:name="h4" w:id="4"/>
      <w:r>
        <w:t xml:space="preserve">3.1 Farmer simple mode: photo and video upload</w:t>
      </w:r>
      <w:bookmarkEnd w:id="4"/>
    </w:p>
    <w:p>
      <w:pPr>
        <w:spacing w:after="120" w:line="276"/>
      </w:pPr>
      <w:r>
        <w:t xml:space="preserve">Used for farmer accounts and field agents working for a farmer (UX/UI Foundation, Section 8.7). Buttons and touch targets at least 48 × 48 px; one big action per screen; short, everyday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farmer sees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Start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Two big buttons with icons: “Take photo” (opens the camera) · “Choose photo”. Line: “Add photos of your trees, wood or oil.” For video: one button “Record video (up to 60 seconds)”.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Sending</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Full-width progress bar per file with large text “Sending… 40%”. Other photos wait in a queue shown as small thumbnails.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Slow or no network</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Amber bar: “Waiting for network — we’ll continue by ourselves.” The upload resumes from where it stopped; nothing is lost if the page is closed and opened again.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Sent</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Green tick and “Sent”. First photo shows “Cover”; a “Make cover” button replaces drag-to-reorder.</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Failed</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“Couldn’t send this photo.” Big button </w:t>
            </w:r>
            <w:r>
              <w:rPr>
                <w:sz w:val="19"/>
                <w:szCs w:val="19"/>
              </w:rPr>
              <w:t xml:space="preserve">Try again</w:t>
            </w:r>
            <w:r>
              <w:rPr>
                <w:sz w:val="19"/>
                <w:szCs w:val="19"/>
              </w:rPr>
              <w:t xml:space="preserve">; small link “Remove”.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Held / in review</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Same meaning as the standard states, in shorter words: “Our team will check this photo.” / “Our team will check your video before it goes live.”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Help</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Button “Call my field agent” on every upload screen.</w:t>
            </w:r>
          </w:p>
        </w:tc>
      </w:tr>
    </w:tbl>
    <w:p>
      <w:pPr>
        <w:spacing w:after="120"/>
      </w:pPr>
    </w:p>
    <w:p>
      <w:pPr>
        <w:pStyle w:val="Heading1"/>
        <w:spacing w:after="200" w:before="360"/>
      </w:pPr>
      <w:bookmarkStart w:name="h5" w:id="5"/>
      <w:r>
        <w:t xml:space="preserve">4. Video Uploader</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tblHeader/>
        </w:trPr>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w:t>
            </w:r>
          </w:p>
        </w:tc>
        <w:tc>
          <w:tcPr>
            <w:tcW w:type="dxa" w:w="790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Allowance</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“Video: 1 of 2 used on your plan.” If none left: “Upgrade your plan to add video to more listings” (link), upload disabled.</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“Add one short video (up to 60 seconds, MP4 or MOV, max 100 MB).” Tip: “Show the product close-up, burning test or distillation.”</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Too long</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upload: “This video is 1 min 25 s. Please trim it to 60 seconds or less.”</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Uploading</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Progress bar with percentage; resumes after network loss. Farmer simple mode: see Section 3.1.</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Processing</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Chip “Processing — this can take a few minutes. You can keep editing.”</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 review</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Chip “In review — our team checks videos before they go live (usually within {service target}).”</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Live</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Chip “Live”; player with cover image, muted by default, sound button.</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Rejected</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Chip “Not approved” + reason, e.g. “Shows a phone number. Please remove contact details and upload again.”</w:t>
            </w:r>
          </w:p>
        </w:tc>
      </w:tr>
    </w:tbl>
    <w:p>
      <w:pPr>
        <w:spacing w:after="120"/>
      </w:pPr>
    </w:p>
    <w:p>
      <w:pPr>
        <w:pStyle w:val="Heading1"/>
        <w:spacing w:after="200" w:before="360"/>
      </w:pPr>
      <w:bookmarkStart w:name="h6" w:id="6"/>
      <w:r>
        <w:t xml:space="preserve">5. Document Uploader</w:t>
      </w:r>
      <w:bookmarkEnd w:id="6"/>
    </w:p>
    <w:p>
      <w:pPr>
        <w:pStyle w:val="ListParagraph"/>
        <w:numPr>
          <w:ilvl w:val="0"/>
          <w:numId w:val="2"/>
        </w:numPr>
        <w:spacing w:after="60" w:line="264"/>
      </w:pPr>
      <w:r>
        <w:t xml:space="preserve">Label shows which document is needed (e.g. “GST certificate”) and the accepted formats: “PDF, JPG, PNG, HEIC/HEIF or WEBP, max 10 MB.”</w:t>
      </w:r>
    </w:p>
    <w:p>
      <w:pPr>
        <w:pStyle w:val="ListParagraph"/>
        <w:numPr>
          <w:ilvl w:val="0"/>
          <w:numId w:val="2"/>
        </w:numPr>
        <w:spacing w:after="60" w:line="264"/>
      </w:pPr>
      <w:r>
        <w:t xml:space="preserve">After upload: file name, “Checking…”, then “Uploaded — under review” (the review itself is Module 3 / 6).</w:t>
      </w:r>
    </w:p>
    <w:p>
      <w:pPr>
        <w:pStyle w:val="ListParagraph"/>
        <w:numPr>
          <w:ilvl w:val="0"/>
          <w:numId w:val="2"/>
        </w:numPr>
        <w:spacing w:after="60" w:line="264"/>
      </w:pPr>
      <w:r>
        <w:t xml:space="preserve">Privacy note under every document uploader: “Documents are private. Only OudhTrade staff and people you approve can see them.”</w:t>
      </w:r>
    </w:p>
    <w:p>
      <w:pPr>
        <w:pStyle w:val="ListParagraph"/>
        <w:numPr>
          <w:ilvl w:val="0"/>
          <w:numId w:val="2"/>
        </w:numPr>
        <w:spacing w:after="60" w:line="264"/>
      </w:pPr>
      <w:r>
        <w:t xml:space="preserve">No thumbnails of documents on public pages, ever.</w:t>
      </w:r>
    </w:p>
    <w:p>
      <w:pPr>
        <w:pStyle w:val="Heading1"/>
        <w:spacing w:after="200" w:before="360"/>
      </w:pPr>
      <w:bookmarkStart w:name="h7" w:id="7"/>
      <w:r>
        <w:t xml:space="preserve">6. Unit Picker and Price Display</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Specification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Unit picker</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Dropdown listing only allowed units for the item, grouped: Weight · Volume · Count · Area. For bigha, katha and lessa a “State” dropdown appears and is required; only states with a factor are listed (M01-2 UNT-009).</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Price field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Currency fixed by account (₹ for India, $ for others), shown before the amount; unit is metric or count (“per ml”, “per kg”, “per piece”).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Price helper</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Link under the price field: “Know your price per tola?” opens a small box: “Price per tola (oil) ₹ [6000] → ₹500 per ml”. Button “Use this price”.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Price display (listing card)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Main: “₹500 / ml”. Below in grey: “≈ ₹6,000 / tola”. For viewers outside India: third line “≈ AED 22 / ml (guide only)”.</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Guide price info</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Info icon on the guide line: “Converted with today’s rate for your guidance. The seller’s price is in {currency}.” ({currency} is the listing currency, e.g. ₹ or $.)</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Area display</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 bigha (Assam) · ≈ 0.66 acre”.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Help</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Info icon: “Prices are in standard units so buyers can compare. 1 tola of oil = 12 ml.”</w:t>
            </w:r>
          </w:p>
        </w:tc>
      </w:tr>
    </w:tbl>
    <w:p>
      <w:pPr>
        <w:spacing w:after="120"/>
      </w:pPr>
    </w:p>
    <w:p>
      <w:pPr>
        <w:pStyle w:val="Heading1"/>
        <w:spacing w:after="200" w:before="360"/>
      </w:pPr>
      <w:bookmarkStart w:name="h8" w:id="8"/>
      <w:r>
        <w:t xml:space="preserve">7. Numbers, Dates and Language</w:t>
      </w:r>
      <w:bookmarkEnd w:id="8"/>
    </w:p>
    <w:p>
      <w:pPr>
        <w:pStyle w:val="ListParagraph"/>
        <w:numPr>
          <w:ilvl w:val="0"/>
          <w:numId w:val="2"/>
        </w:numPr>
        <w:spacing w:after="60" w:line="264"/>
      </w:pPr>
      <w:r>
        <w:t xml:space="preserve">Indian style: ₹1,00,000 and “₹1.5 lakh”; international: ₹100,000 and “₹150K”. Setting in Account → Preferences → “Number format”.</w:t>
      </w:r>
    </w:p>
    <w:p>
      <w:pPr>
        <w:pStyle w:val="ListParagraph"/>
        <w:numPr>
          <w:ilvl w:val="0"/>
          <w:numId w:val="2"/>
        </w:numPr>
        <w:spacing w:after="60" w:line="264"/>
      </w:pPr>
      <w:r>
        <w:t xml:space="preserve">Dates: “24 Sep 2026”; times with zone when relevant: “Review due by 25 Sep 2026, 3:00 PM IST”.</w:t>
      </w:r>
    </w:p>
    <w:p>
      <w:pPr>
        <w:pStyle w:val="ListParagraph"/>
        <w:numPr>
          <w:ilvl w:val="0"/>
          <w:numId w:val="2"/>
        </w:numPr>
        <w:spacing w:after="60" w:line="264"/>
      </w:pPr>
      <w:r>
        <w:t xml:space="preserve">Footer: language selector (English only at launch; shows “More languages coming soon”), number-format and guide-currency switch for visitors, “Cookie settings”, link to status page.</w:t>
      </w:r>
    </w:p>
    <w:p>
      <w:pPr>
        <w:pStyle w:val="ListParagraph"/>
        <w:numPr>
          <w:ilvl w:val="0"/>
          <w:numId w:val="2"/>
        </w:numPr>
        <w:spacing w:after="60" w:line="264"/>
      </w:pPr>
      <w:r>
        <w:t xml:space="preserve">Account → Preferences: Language · Number format · Guide currency (e.g. AED, or “Don’t show”) · Time zone. Visitors choose the guide currency in the footer; the choice is remembered on this device without tracking.</w:t>
      </w:r>
    </w:p>
    <w:p>
      <w:pPr>
        <w:pStyle w:val="ListParagraph"/>
        <w:numPr>
          <w:ilvl w:val="0"/>
          <w:numId w:val="2"/>
        </w:numPr>
        <w:spacing w:after="60" w:line="264"/>
      </w:pPr>
      <w:r>
        <w:t xml:space="preserve">Phone field: flag and country code picker (default: viewer’s country), then the number; example shown in the country’s format.</w:t>
      </w:r>
    </w:p>
    <w:p>
      <w:pPr>
        <w:pStyle w:val="ListParagraph"/>
        <w:numPr>
          <w:ilvl w:val="0"/>
          <w:numId w:val="2"/>
        </w:numPr>
        <w:spacing w:after="60" w:line="264"/>
      </w:pPr>
      <w:r>
        <w:t xml:space="preserve">Address form: fields change with the country (e.g. PIN code, State and District for India; Emirate and P.O. Box for UAE).</w:t>
      </w:r>
    </w:p>
    <w:p>
      <w:pPr>
        <w:pStyle w:val="Heading1"/>
        <w:spacing w:after="200" w:before="360"/>
      </w:pPr>
      <w:bookmarkStart w:name="h9" w:id="9"/>
      <w:r>
        <w:t xml:space="preserve">8. Cookie Banner</w:t>
      </w:r>
      <w:bookmarkEnd w:id="9"/>
    </w:p>
    <w:p>
      <w:pPr>
        <w:spacing w:after="60" w:before="120"/>
        <w:jc w:val="center"/>
      </w:pPr>
      <w:r>
        <w:drawing>
          <wp:inline distT="0" distB="0" distL="0" distR="0">
            <wp:extent cx="2857500" cy="3448050"/>
            <wp:effectExtent t="0" r="0" b="0" l="0"/>
            <wp:docPr id="1" name="m01_flow_consent" descr="Cookie consent behaviour" title="Cookie consent behavi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2857500" cy="3448050"/>
                    </a:xfrm>
                    <a:prstGeom prst="rect">
                      <a:avLst/>
                    </a:prstGeom>
                  </pic:spPr>
                </pic:pic>
              </a:graphicData>
            </a:graphic>
          </wp:inline>
        </w:drawing>
      </w:r>
    </w:p>
    <w:p>
      <w:pPr>
        <w:spacing w:after="200"/>
        <w:jc w:val="center"/>
      </w:pPr>
      <w:r>
        <w:rPr>
          <w:i/>
          <w:iCs/>
          <w:color w:val="6B6B6B"/>
          <w:sz w:val="18"/>
          <w:szCs w:val="18"/>
        </w:rPr>
        <w:t xml:space="preserve">Figure 1 — Cookie consent behaviour</w:t>
      </w:r>
    </w:p>
    <w:p>
      <w:pPr>
        <w:pStyle w:val="ListParagraph"/>
        <w:numPr>
          <w:ilvl w:val="0"/>
          <w:numId w:val="2"/>
        </w:numPr>
        <w:spacing w:after="60" w:line="264"/>
      </w:pPr>
      <w:r>
        <w:t xml:space="preserve">Position: bottom bar (desktop), bottom sheet (mobile). Does not block browsing.</w:t>
      </w:r>
    </w:p>
    <w:p>
      <w:pPr>
        <w:pStyle w:val="ListParagraph"/>
        <w:numPr>
          <w:ilvl w:val="0"/>
          <w:numId w:val="2"/>
        </w:numPr>
        <w:spacing w:after="60" w:line="264"/>
      </w:pPr>
      <w:r>
        <w:t xml:space="preserve">Text: “We use essential cookies to run OudhTrade. With your permission, we’d also like to use analytics and marketing cookies to improve the site and our ads.”</w:t>
      </w:r>
    </w:p>
    <w:p>
      <w:pPr>
        <w:pStyle w:val="ListParagraph"/>
        <w:numPr>
          <w:ilvl w:val="0"/>
          <w:numId w:val="2"/>
        </w:numPr>
        <w:spacing w:after="60" w:line="264"/>
      </w:pPr>
      <w:r>
        <w:t xml:space="preserve">Buttons of equal size and style: </w:t>
      </w:r>
      <w:r>
        <w:rPr>
          <w:b/>
          <w:bCs/>
        </w:rPr>
        <w:t xml:space="preserve">Accept all</w:t>
      </w:r>
      <w:r>
        <w:t xml:space="preserve"> · </w:t>
      </w:r>
      <w:r>
        <w:rPr>
          <w:b/>
          <w:bCs/>
        </w:rPr>
        <w:t xml:space="preserve">Reject all</w:t>
      </w:r>
      <w:r>
        <w:t xml:space="preserve"> · </w:t>
      </w:r>
      <w:r>
        <w:rPr>
          <w:b/>
          <w:bCs/>
        </w:rPr>
        <w:t xml:space="preserve">Choose</w:t>
      </w:r>
      <w:r>
        <w:t xml:space="preserve">.</w:t>
      </w:r>
    </w:p>
    <w:p>
      <w:pPr>
        <w:pStyle w:val="ListParagraph"/>
        <w:numPr>
          <w:ilvl w:val="0"/>
          <w:numId w:val="2"/>
        </w:numPr>
        <w:spacing w:after="60" w:line="264"/>
      </w:pPr>
      <w:r>
        <w:t xml:space="preserve">Choose panel: Essential (always on, explained) · Analytics (toggle) · Marketing (toggle) · Save choices. Link to Cookie Policy.</w:t>
      </w:r>
    </w:p>
    <w:p>
      <w:pPr>
        <w:pStyle w:val="Heading1"/>
        <w:spacing w:after="200" w:before="360"/>
      </w:pPr>
      <w:bookmarkStart w:name="h10" w:id="10"/>
      <w:r>
        <w:t xml:space="preserve">9. My Account Activity</w:t>
      </w:r>
      <w:bookmarkEnd w:id="10"/>
    </w:p>
    <w:p>
      <w:pPr>
        <w:spacing w:after="120" w:line="276"/>
      </w:pPr>
      <w:r>
        <w:t xml:space="preserve">Page in Account → Security → “Account activity”, showing the user’s own audit subset, newest first, with filters (sign-ins, changes, document views, agent 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Example row</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Shown as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Sign-in</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“Signed in from Chrome on Android, Guwahati, IN — 24 Sep 2026, 9:14 AM”</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Change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“Phone number changed — 20 Sep 2026”</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 view</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“Your GST certificate was viewed by OudhTrade verification team — 18 Sep 2026”</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Agent action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“Field agent R. Das updated listing ‘Agarwood chips A grade’ — 12 Oct 2026”</w:t>
            </w:r>
          </w:p>
        </w:tc>
      </w:tr>
    </w:tbl>
    <w:p>
      <w:pPr>
        <w:spacing w:after="120"/>
      </w:pPr>
    </w:p>
    <w:p>
      <w:pPr>
        <w:spacing w:after="120" w:line="276"/>
      </w:pPr>
      <w:r>
        <w:t xml:space="preserve">Link at the bottom: “Something looks wrong? Secure your account” (goes to password change and sign out of all devices).</w:t>
      </w:r>
    </w:p>
    <w:p>
      <w:pPr>
        <w:pStyle w:val="Heading1"/>
        <w:spacing w:after="200" w:before="360"/>
      </w:pPr>
      <w:bookmarkStart w:name="h11" w:id="11"/>
      <w:r>
        <w:t xml:space="preserve">10. Error and Status Pages</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tblHeader/>
        </w:trPr>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Page</w:t>
            </w:r>
          </w:p>
        </w:tc>
        <w:tc>
          <w:tcPr>
            <w:tcW w:type="dxa" w:w="790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Headline and actions</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404</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 couldn’t find that page.” Search box · Browse categories · Help centre</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500</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“Something went wrong on our side.” Try again · Help centre · “Reference: &lt;request ID&gt;”</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Maintenance</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 is being updated.” Expected back: time in the user’s zone</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Offline</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“You’re offline. We’ll retry when you’re connected.”</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Too many requests</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“You’re doing this too often. Please try again in 2 minutes.” (Time counts down.)</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Blocked country</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isn’t available in your country.” Link to Terms.</w:t>
            </w:r>
          </w:p>
        </w:tc>
      </w:tr>
    </w:tbl>
    <w:p>
      <w:pPr>
        <w:spacing w:after="120"/>
      </w:pPr>
    </w:p>
    <w:p>
      <w:pPr>
        <w:spacing w:after="120" w:line="276"/>
      </w:pPr>
      <w:r>
        <w:t xml:space="preserve">404, 500 and maintenance pages show “Check service status” linking to status.oudhtrade.com.</w:t>
      </w:r>
    </w:p>
    <w:p>
      <w:pPr>
        <w:pStyle w:val="Heading1"/>
        <w:spacing w:after="200" w:before="360"/>
      </w:pPr>
      <w:bookmarkStart w:name="h12" w:id="12"/>
      <w:r>
        <w:t xml:space="preserve">11. Accessibility</w:t>
      </w:r>
      <w:bookmarkEnd w:id="12"/>
    </w:p>
    <w:p>
      <w:pPr>
        <w:spacing w:after="120" w:line="276"/>
      </w:pPr>
      <w:r>
        <w:t xml:space="preserve">Every Module 1 screen passes the WCAG 2.2 AA checklist in the UX/UI Foundation, Section 11. Module 1 points:</w:t>
      </w:r>
    </w:p>
    <w:p>
      <w:pPr>
        <w:pStyle w:val="ListParagraph"/>
        <w:numPr>
          <w:ilvl w:val="0"/>
          <w:numId w:val="2"/>
        </w:numPr>
        <w:spacing w:after="60" w:line="264"/>
      </w:pPr>
      <w:r>
        <w:t xml:space="preserve">Contrast ratio ≥ 4.5:1 for text; focus outline on all controls; all actions possible by keyboard.</w:t>
      </w:r>
    </w:p>
    <w:p>
      <w:pPr>
        <w:pStyle w:val="ListParagraph"/>
        <w:numPr>
          <w:ilvl w:val="0"/>
          <w:numId w:val="2"/>
        </w:numPr>
        <w:spacing w:after="60" w:line="264"/>
      </w:pPr>
      <w:r>
        <w:t xml:space="preserve">Upload progress and status changes announced to screen readers.</w:t>
      </w:r>
    </w:p>
    <w:p>
      <w:pPr>
        <w:pStyle w:val="ListParagraph"/>
        <w:numPr>
          <w:ilvl w:val="0"/>
          <w:numId w:val="2"/>
        </w:numPr>
        <w:spacing w:after="60" w:line="264"/>
      </w:pPr>
      <w:r>
        <w:t xml:space="preserve">Touch targets at least 44 × 44 px (48 × 48 px in farmer simple mode); no information by colour alone (status chips also have text).</w:t>
      </w:r>
    </w:p>
    <w:p>
      <w:pPr>
        <w:pStyle w:val="ListParagraph"/>
        <w:numPr>
          <w:ilvl w:val="0"/>
          <w:numId w:val="2"/>
        </w:numPr>
        <w:spacing w:after="60" w:line="264"/>
      </w:pPr>
      <w:r>
        <w:t xml:space="preserve">Photo reordering by drag always has button alternatives (“Move left”, “Move right”, “Make cover”); the focused item is never hidden behind the cookie banner.</w:t>
      </w:r>
    </w:p>
    <w:p>
      <w:pPr>
        <w:pStyle w:val="Heading1"/>
        <w:spacing w:after="200" w:before="360"/>
      </w:pPr>
      <w:bookmarkStart w:name="h13" w:id="13"/>
      <w:r>
        <w:t xml:space="preserve">12. Staff and Settings Screens</w:t>
      </w:r>
      <w:bookmarkEnd w:id="13"/>
    </w:p>
    <w:p>
      <w:pPr>
        <w:spacing w:after="120" w:line="276"/>
      </w:pPr>
      <w:r>
        <w:t xml:space="preserve">This section specifies the staff screens and settings screens of Module 1. Staff screens (Sections 12.9, 12.10, 12.11 and 12.14) are built in the Operations Console layout (M15). Settings screens (Sections 12.2–12.8, 12.12 and 12.13) are built in the Configuration Console shell (M16), which gives the navigation, staff sign-in and the list of changes waiting for approval. Each module sets what its own screens show and allow; every module’s settings screens use the common settings pattern in Section 12.1. When each screen is built is decided by the team; this specification is complete for every release.</w:t>
      </w:r>
    </w:p>
    <w:p>
      <w:pPr>
        <w:spacing w:after="120" w:line="276"/>
      </w:pPr>
      <w:r>
        <w:t xml:space="preserve">All staff screens follow the UX/UI Foundation (desktop-first, WCAG 2.2 AA, Section 11 above). Staff sign in to the staff area with two-step sign-in (M02). Every screen shows only what the staff member’s role allows; a hidden action is not shown at all, rather than shown and refused.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Role</w:t>
            </w:r>
          </w:p>
        </w:tc>
        <w:tc>
          <w:tcPr>
            <w:tcW w:type="dxa" w:w="751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role can do on the Module 1 settings screens (Sections 12.2–12.8, 12.12 and 12.13)</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Super Admin</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Everything an Admin can do, and approves high-impact changes made by someone else (Section 12.1). Never approves their own change.</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Admin</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Edits drafts, previews the impact, sends for approval, approves other (not high-impact) changes made by someone else, publishes approved changes (now or at a set time), rolls back (with approval). Approval follows Section 12.1.</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Moderator</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Views the settings editor, feature switches, the Country table, the holiday calendar, reserved names, retention policies and units. No edits.</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Finance</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Views the settings editor, feature switches, the Country table, the holiday calendar, retention policies, units and AI usage and budgets. May draft AI budget changes and send them for approval; approval follows Section 12.1 (AI budgets are high impact, so a Super Admin approves). The Changes screen shows Finance their own drafts. No other edits.</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Content Editor</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Views the settings editor, feature switches, the Country table, the holiday calendar and units. No edits.</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Support (read-only)</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Views the settings editor, feature switches, the Country table, the holiday calendar and units, to answer user questions. No edits.</w:t>
            </w:r>
          </w:p>
        </w:tc>
      </w:tr>
    </w:tbl>
    <w:p>
      <w:pPr>
        <w:spacing w:after="120"/>
      </w:pPr>
    </w:p>
    <w:p>
      <w:pPr>
        <w:spacing w:after="120" w:line="276"/>
      </w:pPr>
      <w:r>
        <w:t xml:space="preserve">Reserved names, rate limits and AI usage are shown only to the roles named in Sections 12.5, 12.7 and 12.8. Access to the staff screens is set in each section: audit log 12.9, legal hold 12.10, failed jobs 12.11, photo location view 12.14.</w:t>
      </w:r>
    </w:p>
    <w:p>
      <w:pPr>
        <w:pStyle w:val="Heading2"/>
      </w:pPr>
      <w:bookmarkStart w:name="h14" w:id="14"/>
      <w:r>
        <w:t xml:space="preserve">12.1 Common settings pattern</w:t>
      </w:r>
      <w:bookmarkEnd w:id="14"/>
    </w:p>
    <w:p>
      <w:pPr>
        <w:spacing w:after="120" w:line="276"/>
      </w:pPr>
      <w:r>
        <w:t xml:space="preserve">Every module’s settings screens work the same way, so staff learn one way of changing settings. The pattern rests on M01-2 CFG-005 to CFG-009 and ENV-008.</w:t>
      </w:r>
    </w:p>
    <w:p>
      <w:pPr>
        <w:spacing w:after="120" w:line="276"/>
      </w:pPr>
      <w:r>
        <w:rPr>
          <w:b/>
          <w:bCs/>
        </w:rPr>
        <w:t xml:space="preserve">Who approves — one rule for every module.</w:t>
      </w:r>
      <w:r>
        <w:t xml:space="preserve"> Every change needs a second person, and the editor never approves their own change. There are two 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783"/>
        <w:gridCol w:w="2313"/>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Level</w:t>
            </w:r>
          </w:p>
        </w:tc>
        <w:tc>
          <w:tcPr>
            <w:tcW w:type="dxa" w:w="578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Which settings</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Who approves</w:t>
            </w:r>
          </w:p>
        </w:tc>
      </w:tr>
      <w:tr>
        <w:trPr>
          <w:cantSplit/>
        </w:trPr>
        <w:tc>
          <w:tcPr>
            <w:tcW w:type="dxa" w:w="1542"/>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High impact</w:t>
            </w:r>
          </w:p>
        </w:tc>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Trust and ranking weights · prices · limits (including daily OTP cost caps) · permissions · compliance rules (including retention periods and the blocked-country list) · legal texts · production feature switches · document checklists · business ID rules · badge types · role change paths · rate limits · AI budgets · Country table features (country status, allowed features and sign-in settings).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Super Admin who is not the editor.</w:t>
            </w:r>
          </w:p>
        </w:tc>
      </w:tr>
      <w:tr>
        <w:trPr>
          <w:cantSplit/>
        </w:trPr>
        <w:tc>
          <w:tcPr>
            <w:tcW w:type="dxa" w:w="1542"/>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Other</w:t>
            </w:r>
          </w:p>
        </w:tc>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other settings, for example rejection reason texts, setup card items, capability bands, the holiday calendar, reserved names, translations of texts, units and conversion factors, and feature switches outside production.</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Any other Admin (or Super Admin) who is not the editor.</w:t>
            </w:r>
          </w:p>
        </w:tc>
      </w:tr>
    </w:tbl>
    <w:p>
      <w:pPr>
        <w:spacing w:after="120"/>
      </w:pPr>
    </w:p>
    <w:p>
      <w:pPr>
        <w:spacing w:after="120" w:line="276"/>
      </w:pPr>
      <w:r>
        <w:t xml:space="preserve">Each module’s settings screen tags its items with this level. If an item is not clearly in the “Other” list, it is treated as high impact. Rollbacks and imports from staging use the same rule. Other documents point to this section and do not repeat the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tblHeader/>
        </w:trPr>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790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staff member sees and does</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1. List</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Table of the items of this screen (settings, countries, names, dates…), with search and filters. Each row shows the current published value and a chip when a change is waiting (“Waiting for approval”, “Scheduled for {date time}”).</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2. Edit draft</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Edit opens a draft; the live value does not change. Each field is checked as the staff member types (type, allowed range, required). Error text under the field, e.g. “Enter a number between 1 and 20.” The draft can be saved and finished later.</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3. Preview impact</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Button </w:t>
            </w:r>
            <w:r>
              <w:rPr>
                <w:sz w:val="19"/>
                <w:szCs w:val="19"/>
              </w:rPr>
              <w:t xml:space="preserve">Preview impact</w:t>
            </w:r>
            <w:r>
              <w:rPr>
                <w:sz w:val="19"/>
                <w:szCs w:val="19"/>
              </w:rPr>
              <w:t xml:space="preserve"> (required before sending). The preview shows: </w:t>
            </w:r>
            <w:r>
              <w:rPr>
                <w:sz w:val="19"/>
                <w:szCs w:val="19"/>
              </w:rPr>
              <w:t xml:space="preserve">What changes</w:t>
            </w:r>
            <w:r>
              <w:rPr>
                <w:sz w:val="19"/>
                <w:szCs w:val="19"/>
              </w:rPr>
              <w:t xml:space="preserve"> — each old value → new value, with its scope (global, country, category, plan, role or account list); </w:t>
            </w:r>
            <w:r>
              <w:rPr>
                <w:sz w:val="19"/>
                <w:szCs w:val="19"/>
              </w:rPr>
              <w:t xml:space="preserve">Who is affected</w:t>
            </w:r>
            <w:r>
              <w:rPr>
                <w:sz w:val="19"/>
                <w:szCs w:val="19"/>
              </w:rPr>
              <w:t xml:space="preserve"> — counts where they can be worked out, e.g. “About 1,240 sellers in India on the free plan”, “38 open review timers move”; </w:t>
            </w:r>
            <w:r>
              <w:rPr>
                <w:sz w:val="19"/>
                <w:szCs w:val="19"/>
              </w:rPr>
              <w:t xml:space="preserve">Example</w:t>
            </w:r>
            <w:r>
              <w:rPr>
                <w:sz w:val="19"/>
                <w:szCs w:val="19"/>
              </w:rPr>
              <w:t xml:space="preserve"> — one worked case, e.g. “A free-plan seller in India: photos per listing 10 → 12”. If a count cannot be worked out: “Impact can’t be counted for this setting — see the example.” (CFG-008)</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4. Send for approval</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reason is required: “Why are you making this change?” The draft shows the chip “High impact” when it touches a high-impact setting (list above).</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5. Approve</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second person approves, as in “Who approves” above: a Super Admin who is not the editor for a high-impact change; any other Admin who is not the editor for other changes. The approver sees the same preview, refreshed: “Preview updated {time}”. Approve or Reject, both with a reason. The editor sees no Approve button on their own change: “You made this change, so another person must approve it.” An Admin who opens a high-impact change sees: “This change is high impact. A Super Admin must approve it.”</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6. Publish</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After approval: </w:t>
            </w:r>
            <w:r>
              <w:rPr>
                <w:sz w:val="19"/>
                <w:szCs w:val="19"/>
              </w:rPr>
              <w:t xml:space="preserve">Publish now</w:t>
            </w:r>
            <w:r>
              <w:rPr>
                <w:sz w:val="19"/>
                <w:szCs w:val="19"/>
              </w:rPr>
              <w:t xml:space="preserve"> or </w:t>
            </w:r>
            <w:r>
              <w:rPr>
                <w:sz w:val="19"/>
                <w:szCs w:val="19"/>
              </w:rPr>
              <w:t xml:space="preserve">Schedule</w:t>
            </w:r>
            <w:r>
              <w:rPr>
                <w:sz w:val="19"/>
                <w:szCs w:val="19"/>
              </w:rPr>
              <w:t xml:space="preserve"> (date and time, shown in IST and in the staff member’s time zone). A scheduled change can be cancelled, with a reason, until it runs: “Scheduled for 1 Oct 2026, 9:00 AM IST. You can cancel it until then.” After publishing: “Published. Version {n} is live. All services use it within 60 seconds.” (CFG-001, CFG-009)</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7. Version history</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Tab </w:t>
            </w:r>
            <w:r>
              <w:rPr>
                <w:sz w:val="19"/>
                <w:szCs w:val="19"/>
              </w:rPr>
              <w:t xml:space="preserve">History</w:t>
            </w:r>
            <w:r>
              <w:rPr>
                <w:sz w:val="19"/>
                <w:szCs w:val="19"/>
              </w:rPr>
              <w:t xml:space="preserve"> on every screen: each version with number, status (draft, waiting for approval, approved, scheduled, published, rejected, cancelled, rolled back), who made it, who approved it, when it was published and the reason. </w:t>
            </w:r>
            <w:r>
              <w:rPr>
                <w:sz w:val="19"/>
                <w:szCs w:val="19"/>
              </w:rPr>
              <w:t xml:space="preserve">Compare</w:t>
            </w:r>
            <w:r>
              <w:rPr>
                <w:sz w:val="19"/>
                <w:szCs w:val="19"/>
              </w:rPr>
              <w:t xml:space="preserve"> shows old and new values side by side.</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8. Roll back</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 any earlier version: </w:t>
            </w:r>
            <w:r>
              <w:rPr>
                <w:sz w:val="19"/>
                <w:szCs w:val="19"/>
              </w:rPr>
              <w:t xml:space="preserve">Roll back to this version</w:t>
            </w:r>
            <w:r>
              <w:rPr>
                <w:sz w:val="19"/>
                <w:szCs w:val="19"/>
              </w:rPr>
              <w:t xml:space="preserve">. Confirm box: “Roll back to version {n}? This makes a new draft that needs approval like any other change.” The rollback goes through steps 3–6, approved as in “Who approves” above, and is published as a new version. (CFG-009)</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9. Audit</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step — draft saved, preview, send, approve, reject, publish, schedule, cancel, roll back, import — is written to the audit log with who, when, before and after values and the reason (AUD-001).</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10. Edit conflict</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If someone else saved the same item after it was opened, the save is refused and a banner shows: “Changed by someone else — please reload.” Button </w:t>
            </w:r>
            <w:r>
              <w:rPr>
                <w:sz w:val="19"/>
                <w:szCs w:val="19"/>
              </w:rPr>
              <w:t xml:space="preserve">Reload</w:t>
            </w:r>
            <w:r>
              <w:rPr>
                <w:sz w:val="19"/>
                <w:szCs w:val="19"/>
              </w:rPr>
              <w:t xml:space="preserve">; the staff member’s unsaved values are shown next to the new values so nothing typed is lost. (CFG-007)</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11. Staging first</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Changes are made and checked in staging first. </w:t>
            </w:r>
            <w:r>
              <w:rPr>
                <w:sz w:val="19"/>
                <w:szCs w:val="19"/>
              </w:rPr>
              <w:t xml:space="preserve">Export</w:t>
            </w:r>
            <w:r>
              <w:rPr>
                <w:sz w:val="19"/>
                <w:szCs w:val="19"/>
              </w:rPr>
              <w:t xml:space="preserve"> (staging) makes a file of a published version; </w:t>
            </w:r>
            <w:r>
              <w:rPr>
                <w:sz w:val="19"/>
                <w:szCs w:val="19"/>
              </w:rPr>
              <w:t xml:space="preserve">Import</w:t>
            </w:r>
            <w:r>
              <w:rPr>
                <w:sz w:val="19"/>
                <w:szCs w:val="19"/>
              </w:rPr>
              <w:t xml:space="preserve"> (production) loads it as a draft with its preview: “Imported from staging as a draft. Check the preview and send it for approval.” The import uses the same approval steps (5–6) as any other change (ENV-008, CFG-006).</w:t>
            </w:r>
          </w:p>
        </w:tc>
      </w:tr>
    </w:tbl>
    <w:p>
      <w:pPr>
        <w:spacing w:after="120"/>
      </w:pPr>
    </w:p>
    <w:p>
      <w:pPr>
        <w:spacing w:after="120" w:line="276"/>
      </w:pPr>
      <w:r>
        <w:rPr>
          <w:b/>
          <w:bCs/>
        </w:rPr>
        <w:t xml:space="preserve">Changes screen</w:t>
      </w:r>
      <w:r>
        <w:t xml:space="preserve"> (in the Configuration Console shell): four tabs — </w:t>
      </w:r>
      <w:r>
        <w:rPr>
          <w:b/>
          <w:bCs/>
        </w:rPr>
        <w:t xml:space="preserve">Waiting for my approval</w:t>
      </w:r>
      <w:r>
        <w:t xml:space="preserve">, </w:t>
      </w:r>
      <w:r>
        <w:rPr>
          <w:b/>
          <w:bCs/>
        </w:rPr>
        <w:t xml:space="preserve">My drafts</w:t>
      </w:r>
      <w:r>
        <w:t xml:space="preserve"> (my own drafts and changes I sent, with their status), </w:t>
      </w:r>
      <w:r>
        <w:rPr>
          <w:b/>
          <w:bCs/>
        </w:rPr>
        <w:t xml:space="preserve">Scheduled</w:t>
      </w:r>
      <w:r>
        <w:t xml:space="preserve"> and </w:t>
      </w:r>
      <w:r>
        <w:rPr>
          <w:b/>
          <w:bCs/>
        </w:rPr>
        <w:t xml:space="preserve">Recent</w:t>
      </w:r>
      <w:r>
        <w:t xml:space="preserve"> (last 90 days) — across all modules, each row with module, screen, item, editor, “High impact” chip and age. Super Admin and Admin see all four tabs; Finance sees only </w:t>
      </w:r>
      <w:r>
        <w:rPr>
          <w:b/>
          <w:bCs/>
        </w:rPr>
        <w:t xml:space="preserve">My drafts</w:t>
      </w:r>
      <w:r>
        <w:t xml:space="preserve">. Empty state: “No changes are waiting for your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staff member sees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Loading</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Skeleton rows; the table keeps its layout.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list</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Short text for the screen, e.g. “No reserved names yet. Add the first one.” and the main action button (hidden for view-only roles).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Not allowed</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 don’t have access to this screen. Ask a Super Admin if you need it.”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Validation error</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Message under each wrong field; </w:t>
            </w:r>
            <w:r>
              <w:rPr>
                <w:sz w:val="19"/>
                <w:szCs w:val="19"/>
              </w:rPr>
              <w:t xml:space="preserve">Preview impact</w:t>
            </w:r>
            <w:r>
              <w:rPr>
                <w:sz w:val="19"/>
                <w:szCs w:val="19"/>
              </w:rPr>
              <w:t xml:space="preserve"> stays disabled until all fields are valid.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Server error</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 couldn’t save this change. Try again. Reference: {request ID}.” The draft is kept.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Publish failed</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“Publishing failed — the live settings did not change. Try again. Reference: {request ID}.” The approved draft stays approved.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Rejected</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Chip “Not approved” with the approver’s reason; the draft goes back to the editor.</w:t>
            </w:r>
          </w:p>
        </w:tc>
      </w:tr>
    </w:tbl>
    <w:p>
      <w:pPr>
        <w:spacing w:after="120"/>
      </w:pPr>
    </w:p>
    <w:p>
      <w:pPr>
        <w:pStyle w:val="Heading2"/>
      </w:pPr>
      <w:bookmarkStart w:name="h15" w:id="15"/>
      <w:r>
        <w:t xml:space="preserve">12.2 Settings editor</w:t>
      </w:r>
      <w:bookmarkEnd w:id="15"/>
    </w:p>
    <w:p>
      <w:pPr>
        <w:spacing w:after="120" w:line="276"/>
      </w:pPr>
      <w:r>
        <w:t xml:space="preserve">One screen for the general values of all modules (numbers, time windows, texts, on/off values) that do not have a screen of their own. Route and parts: M01-4 Section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Specification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Admin: edit (Section 12.1). Moderator, Finance, Content Editor, Support: view only.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it shows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Settings grouped by module (M01 Platform, M02 Identity…), with a search box (name, key or description). Each row: name, key (e.g. files.photo.max_mb), current value, default value (from code), number of overrides, one-line description, “High impact” tag where it applies.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Edit value</w:t>
            </w:r>
            <w:r>
              <w:rPr>
                <w:sz w:val="19"/>
                <w:szCs w:val="19"/>
              </w:rPr>
              <w:t xml:space="preserve"> · </w:t>
            </w:r>
            <w:r>
              <w:rPr>
                <w:sz w:val="19"/>
                <w:szCs w:val="19"/>
              </w:rPr>
              <w:t xml:space="preserve">Add override</w:t>
            </w:r>
            <w:r>
              <w:rPr>
                <w:sz w:val="19"/>
                <w:szCs w:val="19"/>
              </w:rPr>
              <w:t xml:space="preserve"> (by account list, role, plan, category or country; CFG-004) · </w:t>
            </w:r>
            <w:r>
              <w:rPr>
                <w:sz w:val="19"/>
                <w:szCs w:val="19"/>
              </w:rPr>
              <w:t xml:space="preserve">Remove override</w:t>
            </w:r>
            <w:r>
              <w:rPr>
                <w:sz w:val="19"/>
                <w:szCs w:val="19"/>
              </w:rPr>
              <w:t xml:space="preserve"> · </w:t>
            </w:r>
            <w:r>
              <w:rPr>
                <w:sz w:val="19"/>
                <w:szCs w:val="19"/>
              </w:rPr>
              <w:t xml:space="preserve">Preview impact</w:t>
            </w:r>
            <w:r>
              <w:rPr>
                <w:sz w:val="19"/>
                <w:szCs w:val="19"/>
              </w:rPr>
              <w:t xml:space="preserve"> · </w:t>
            </w:r>
            <w:r>
              <w:rPr>
                <w:sz w:val="19"/>
                <w:szCs w:val="19"/>
              </w:rPr>
              <w:t xml:space="preserve">Send for approval</w:t>
            </w:r>
            <w:r>
              <w:rPr>
                <w:sz w:val="19"/>
                <w:szCs w:val="19"/>
              </w:rPr>
              <w:t xml:space="preserve"> · </w:t>
            </w:r>
            <w:r>
              <w:rPr>
                <w:sz w:val="19"/>
                <w:szCs w:val="19"/>
              </w:rPr>
              <w:t xml:space="preserve">History</w:t>
            </w:r>
            <w:r>
              <w:rPr>
                <w:sz w:val="19"/>
                <w:szCs w:val="19"/>
              </w:rPr>
              <w:t xml:space="preserve">. The override panel lists each override with its scope and value, most specific first (CFG-005).</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“This setting is high impact. A Super Admin must approve the change.” · “Default: 15 MB. Current: 15 MB. 2 overrides.” · “An override for this scope already exists — edit it instead.”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search result: “No settings match ‘{text}’.”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 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Load failure: “We couldn’t load settings. Try again. Reference: {request ID}.” Value outside the allowed range: “Enter a value between {min} and {max}.”</w:t>
            </w:r>
          </w:p>
        </w:tc>
      </w:tr>
    </w:tbl>
    <w:p>
      <w:pPr>
        <w:spacing w:after="120"/>
      </w:pPr>
    </w:p>
    <w:p>
      <w:pPr>
        <w:pStyle w:val="Heading2"/>
      </w:pPr>
      <w:bookmarkStart w:name="h16" w:id="16"/>
      <w:r>
        <w:t xml:space="preserve">12.3 Feature switches and overrides</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Specification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Admin: edit. Moderator, Finance, Content Editor, Support: view only. Changing a production switch is high impact; switches in development and staging are “other” changes (Section 12.1).</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it shows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 of switches with name (e.g. messaging.full_chat), description, owner module and state per environment (development, staging, production). Detail: targets — release, environment, role, list of test accounts (CFG-003) — and overrides by account list, role, plan, category and country, shown in the order that decides (account list → role → plan → category → country → global, CFG-005).</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Turn on / off</w:t>
            </w:r>
            <w:r>
              <w:rPr>
                <w:sz w:val="19"/>
                <w:szCs w:val="19"/>
              </w:rPr>
              <w:t xml:space="preserve"> per environment · </w:t>
            </w:r>
            <w:r>
              <w:rPr>
                <w:sz w:val="19"/>
                <w:szCs w:val="19"/>
              </w:rPr>
              <w:t xml:space="preserve">Add target</w:t>
            </w:r>
            <w:r>
              <w:rPr>
                <w:sz w:val="19"/>
                <w:szCs w:val="19"/>
              </w:rPr>
              <w:t xml:space="preserve"> · </w:t>
            </w:r>
            <w:r>
              <w:rPr>
                <w:sz w:val="19"/>
                <w:szCs w:val="19"/>
              </w:rPr>
              <w:t xml:space="preserve">Add override</w:t>
            </w:r>
            <w:r>
              <w:rPr>
                <w:sz w:val="19"/>
                <w:szCs w:val="19"/>
              </w:rPr>
              <w:t xml:space="preserve"> · </w:t>
            </w:r>
            <w:r>
              <w:rPr>
                <w:sz w:val="19"/>
                <w:szCs w:val="19"/>
              </w:rPr>
              <w:t xml:space="preserve">Check an account</w:t>
            </w:r>
            <w:r>
              <w:rPr>
                <w:sz w:val="19"/>
                <w:szCs w:val="19"/>
              </w:rPr>
              <w:t xml:space="preserve"> (type an account ID to see whether the switch is on for it and which rule decided) · Preview impact · Send for approval · History.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“For account {ID}: ON — decided by role override (Seller).” · “Turning this off in production hides {feature} for about {n} users.” · “Under-attack mode is a security switch; a Super Admin must approve it.”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overrides. The switch uses its global value.”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 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“This account ID doesn’t exist.” · Load or save failure with reference (Section 12.1).</w:t>
            </w:r>
          </w:p>
        </w:tc>
      </w:tr>
    </w:tbl>
    <w:p>
      <w:pPr>
        <w:spacing w:after="120"/>
      </w:pPr>
    </w:p>
    <w:p>
      <w:pPr>
        <w:pStyle w:val="Heading2"/>
      </w:pPr>
      <w:bookmarkStart w:name="h17" w:id="17"/>
      <w:r>
        <w:t xml:space="preserve">12.4 Country table</w:t>
      </w:r>
      <w:bookmarkEnd w:id="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Specification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Admin: edit. Moderator, Finance, Content Editor, Support: view only. Changes to a country’s status, features, sign-in settings or OTP cost cap are high impact; other fields (names, time zones, number style, address layout) are “other” changes (Section 12.1). The blocked list is set with counsel (C7).</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it shows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row per country: flag, name, ISO code, status (allowed, restricted, blocked), selling allowed (yes / no), launch status (open, invited only, not yet open), currency, guide currency, default language. Selling allowed and launch status are kept with the country’s features (M01-5 Section 5.1). Filters: status, region, selling allowed. Country detail tabs: </w:t>
            </w:r>
            <w:r>
              <w:rPr>
                <w:sz w:val="19"/>
                <w:szCs w:val="19"/>
              </w:rPr>
              <w:t xml:space="preserve">General</w:t>
            </w:r>
            <w:r>
              <w:rPr>
                <w:sz w:val="19"/>
                <w:szCs w:val="19"/>
              </w:rPr>
              <w:t xml:space="preserve"> (phone code, time zones, weekend days, number style, address layout); </w:t>
            </w:r>
            <w:r>
              <w:rPr>
                <w:sz w:val="19"/>
                <w:szCs w:val="19"/>
              </w:rPr>
              <w:t xml:space="preserve">Features</w:t>
            </w:r>
            <w:r>
              <w:rPr>
                <w:sz w:val="19"/>
                <w:szCs w:val="19"/>
              </w:rPr>
              <w:t xml:space="preserve"> (e.g. Opportunities visible, export listings visible — CTY-004); </w:t>
            </w:r>
            <w:r>
              <w:rPr>
                <w:sz w:val="19"/>
                <w:szCs w:val="19"/>
              </w:rPr>
              <w:t xml:space="preserve">Sign-in</w:t>
            </w:r>
            <w:r>
              <w:rPr>
                <w:sz w:val="19"/>
                <w:szCs w:val="19"/>
              </w:rPr>
              <w:t xml:space="preserve"> (OTP channel order, sign-in methods, SMS sender-name status, daily OTP cost cap with its starting values — CTY-008); </w:t>
            </w:r>
            <w:r>
              <w:rPr>
                <w:sz w:val="19"/>
                <w:szCs w:val="19"/>
              </w:rPr>
              <w:t xml:space="preserve">ID rules</w:t>
            </w:r>
            <w:r>
              <w:rPr>
                <w:sz w:val="19"/>
                <w:szCs w:val="19"/>
              </w:rPr>
              <w:t xml:space="preserve"> (link to the business ID rules per country in M03-6, which own them); </w:t>
            </w:r>
            <w:r>
              <w:rPr>
                <w:sz w:val="19"/>
                <w:szCs w:val="19"/>
              </w:rPr>
              <w:t xml:space="preserve">States and districts</w:t>
            </w:r>
            <w:r>
              <w:rPr>
                <w:sz w:val="19"/>
                <w:szCs w:val="19"/>
              </w:rPr>
              <w:t xml:space="preserve"> (CTY-002).</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Edit</w:t>
            </w:r>
            <w:r>
              <w:rPr>
                <w:sz w:val="19"/>
                <w:szCs w:val="19"/>
              </w:rPr>
              <w:t xml:space="preserve"> each tab · Preview impact (e.g. “Blocking {country} stops about {n} visitors a day at the edge and {n} sign-ups”) · Send for approval · History.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“Blocked countries are stopped at the edge and at sign-up.” · “Opportunities will be hidden for viewers in {country}.” · “ID rules for this country are edited in the Module 3 editor.” (link)</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filter result: “No countries match these filters.”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 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“At least one sign-in method is required.” · “Unknown channel — use sms, whatsapp, email or voice.” · Load or save failure with reference.</w:t>
            </w:r>
          </w:p>
        </w:tc>
      </w:tr>
    </w:tbl>
    <w:p>
      <w:pPr>
        <w:spacing w:after="120"/>
      </w:pPr>
    </w:p>
    <w:p>
      <w:pPr>
        <w:pStyle w:val="Heading2"/>
      </w:pPr>
      <w:bookmarkStart w:name="h18" w:id="18"/>
      <w:r>
        <w:t xml:space="preserve">12.5 Reserved names</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Specification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Admin: add, retire and edit; changes are “other” changes, so any other Admin approves (Section 12.1). Moderator: view (brand complaints are handled in M12). Other roles: no access.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it shows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 of names with kind (reserved, banned, protected brand), match type (exact or contains), applies to (store name, page address), reason, added by and date, active or retired. Filters by kind; search.</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Add name</w:t>
            </w:r>
            <w:r>
              <w:rPr>
                <w:sz w:val="19"/>
                <w:szCs w:val="19"/>
              </w:rPr>
              <w:t xml:space="preserve"> (kind, match type, applies to and reason are required) · </w:t>
            </w:r>
            <w:r>
              <w:rPr>
                <w:sz w:val="19"/>
                <w:szCs w:val="19"/>
              </w:rPr>
              <w:t xml:space="preserve">Retire</w:t>
            </w:r>
            <w:r>
              <w:rPr>
                <w:sz w:val="19"/>
                <w:szCs w:val="19"/>
              </w:rPr>
              <w:t xml:space="preserve"> (reason required; names are never deleted) · </w:t>
            </w:r>
            <w:r>
              <w:rPr>
                <w:sz w:val="19"/>
                <w:szCs w:val="19"/>
              </w:rPr>
              <w:t xml:space="preserve">Check existing names</w:t>
            </w:r>
            <w:r>
              <w:rPr>
                <w:sz w:val="19"/>
                <w:szCs w:val="19"/>
              </w:rPr>
              <w:t xml:space="preserve">: before sending, the screen lists existing store names and page addresses that match the new entry (URL-009) · Preview impact · Send for approval · History.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 existing stores match ‘{name}’. They keep their names; the matches go to moderation for review.” · “Names are checked in lower case, with look-alike characters folded (0 → o, 1 → l).” · “This name is already on the list as {kind}.”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reserved names yet. Add the first one.”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 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reason is required.” · “Enter a name.” · Load or save failure with reference.</w:t>
            </w:r>
          </w:p>
        </w:tc>
      </w:tr>
    </w:tbl>
    <w:p>
      <w:pPr>
        <w:spacing w:after="120"/>
      </w:pPr>
    </w:p>
    <w:p>
      <w:pPr>
        <w:pStyle w:val="Heading2"/>
      </w:pPr>
      <w:bookmarkStart w:name="h19" w:id="19"/>
      <w:r>
        <w:t xml:space="preserve">12.6 Holiday calendar</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Specification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Admin: edit; changes are “other” changes, so any other Admin approves (Section 12.1). Moderator, Finance, Content Editor, Support: view only.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it shows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Year view (12 small months) per country (India at launch) with holidays marked; list view below with date, name, kind (national or company) and active or retired. Line at the top: “These holidays are skipped by service-target timers (IST business hours). Legal timers count calendar hours and ignore holidays.”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Add holiday</w:t>
            </w:r>
            <w:r>
              <w:rPr>
                <w:sz w:val="19"/>
                <w:szCs w:val="19"/>
              </w:rPr>
              <w:t xml:space="preserve"> (date, name, kind) · </w:t>
            </w:r>
            <w:r>
              <w:rPr>
                <w:sz w:val="19"/>
                <w:szCs w:val="19"/>
              </w:rPr>
              <w:t xml:space="preserve">Retire</w:t>
            </w:r>
            <w:r>
              <w:rPr>
                <w:sz w:val="19"/>
                <w:szCs w:val="19"/>
              </w:rPr>
              <w:t xml:space="preserve"> · </w:t>
            </w:r>
            <w:r>
              <w:rPr>
                <w:sz w:val="19"/>
                <w:szCs w:val="19"/>
              </w:rPr>
              <w:t xml:space="preserve">Import year</w:t>
            </w:r>
            <w:r>
              <w:rPr>
                <w:sz w:val="19"/>
                <w:szCs w:val="19"/>
              </w:rPr>
              <w:t xml:space="preserve"> (a CSV file with date, name, kind for one country; loaded as a draft) · year switcher · Preview impact · Send for approval · History (LOC-013).</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Preview</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“Adding Mon 2 Nov 2026 moves the due time of 42 open service-target timers by one business day, e.g. a listing review due Mon 2 Nov, 3:00 PM IST becomes due Tue 3 Nov, 3:00 PM IST.”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“Next year’s calendar isn’t loaded yet. Please import it before 1 January.” (shown from 1 November) · “This date is a Sunday — Sundays are already skipped.”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holidays for {year}. Add one or import the year.”</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 states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Import: “Row 7: date ‘31-02-2027’ isn’t a real date.” (the whole file is refused; nothing half-loaded) · “This date is already a holiday.” · Load or save failure with reference.</w:t>
            </w:r>
          </w:p>
        </w:tc>
      </w:tr>
    </w:tbl>
    <w:p>
      <w:pPr>
        <w:spacing w:after="120"/>
      </w:pPr>
    </w:p>
    <w:p>
      <w:pPr>
        <w:pStyle w:val="Heading2"/>
      </w:pPr>
      <w:bookmarkStart w:name="h20" w:id="20"/>
      <w:r>
        <w:t xml:space="preserve">12.7 Rate limits</w:t>
      </w:r>
      <w:bookmarkEnd w:id="2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Specification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Admin: edit (limits are high impact, so a Super Admin approves). Other roles: no access.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it shows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Policy list grouped by module and endpoint group (e.g. M01 / photo upload, M02 / OTP request), each with key (visitor IP or device, account, plan, API key), limit, time window, action on breach (wait message, challenge, 15-minute block, security event) and overrides by plan, role and country (RTL-001, RTL-002). Side panel: blocks in the last 24 hours for the selected policy (count only).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Edit limit / window / action</w:t>
            </w:r>
            <w:r>
              <w:rPr>
                <w:sz w:val="19"/>
                <w:szCs w:val="19"/>
              </w:rPr>
              <w:t xml:space="preserve"> · </w:t>
            </w:r>
            <w:r>
              <w:rPr>
                <w:sz w:val="19"/>
                <w:szCs w:val="19"/>
              </w:rPr>
              <w:t xml:space="preserve">Add override</w:t>
            </w:r>
            <w:r>
              <w:rPr>
                <w:sz w:val="19"/>
                <w:szCs w:val="19"/>
              </w:rPr>
              <w:t xml:space="preserve"> · Preview impact (e.g. “At the new limit, about 0.4 % of yesterday’s requests would have been refused”) · Send for approval · History. Permanent blocks of one key are set in the Operations Console (M15), not here.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“Limits registered by a module’s code can be changed here but not removed.” · “This limit is high impact. A Super Admin must approve the change.”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filter result: “No policies match these filters.”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 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“Limit must be a whole number above 0.” · Load or save failure with reference.</w:t>
            </w:r>
          </w:p>
        </w:tc>
      </w:tr>
    </w:tbl>
    <w:p>
      <w:pPr>
        <w:spacing w:after="120"/>
      </w:pPr>
    </w:p>
    <w:p>
      <w:pPr>
        <w:pStyle w:val="Heading2"/>
      </w:pPr>
      <w:bookmarkStart w:name="h21" w:id="21"/>
      <w:r>
        <w:t xml:space="preserve">12.8 AI usage and budgets</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Specification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Admin: view and edit budgets. Finance: view, and may draft budget changes and send them for approval (their drafts show on the Changes screen, tab My drafts). Other roles: no access. AI budgets are high impact, so a Super Admin who is not the editor approves (Section 12.1).</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it shows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row per module and purpose (e.g. M07 search embeddings, M12 moderation hints), with the starting budgets from M01-2 AIG-004: calls this month, tokens in and out, cost this month against the monthly budget (bar and percentage), alert state (none, 80 % reached, 100 % reached), essential or non-essential, and pause state (“Paused since {date}” for a non-essential purpose at 100 %). Totals per module and for the platform. Month picker for past months (AIG-003, AIG-004, AIG-006).</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Edit budget</w:t>
            </w:r>
            <w:r>
              <w:rPr>
                <w:sz w:val="19"/>
                <w:szCs w:val="19"/>
              </w:rPr>
              <w:t xml:space="preserve"> (monthly amount, alert levels) → Preview impact (“At the current rate this purpose reaches its budget on {date}”) → Send for approval · History. A paused purpose starts again when a raised budget is published or at the start of the next month.</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“{Purpose} has used 82 % of its budget ({amount} of {amount}).” · “{Purpose} is paused: it reached 100 % of its budget. The feature works without AI until the budget is raised or the month ends.” · “Essential purposes are never paused; they alert at 100 %.”</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AI calls this month.”</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 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“Cost figures are up to 1 hour behind.” (shown when the hourly check has not yet run) · Load or save failure with reference.</w:t>
            </w:r>
          </w:p>
        </w:tc>
      </w:tr>
    </w:tbl>
    <w:p>
      <w:pPr>
        <w:spacing w:after="120"/>
      </w:pPr>
    </w:p>
    <w:p>
      <w:pPr>
        <w:pStyle w:val="Heading2"/>
      </w:pPr>
      <w:bookmarkStart w:name="h22" w:id="22"/>
      <w:r>
        <w:t xml:space="preserve">12.9 Audit log viewer</w:t>
      </w:r>
      <w:bookmarkEnd w:id="22"/>
    </w:p>
    <w:p>
      <w:pPr>
        <w:spacing w:after="120" w:line="276"/>
      </w:pPr>
      <w:r>
        <w:t xml:space="preserve">A staff screen in the Operations Console layout (M15). It reads the audit log; it never changes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Specification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As in AUD-005: Super Admin and Admin search all records; Moderator sees the history of the item or account under review; Finance sees payment, refund and invoice records; Support sees an account summary without private documents; field agents see only their own actions. Content Editor: no access. Export: Super Admin only (AUD-007).</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it shows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Search form: time range, actor (staff or user ID), action, target (type and ID). Results table (newest first, 20 per page, cursor paging): time, actor and role, action, target, reason. Line above the results: “Your searches are recorded.” (AUD-006)</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Record detail</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fields of the record: time, actor and role, action, target, reason, before and after values side by side (ID numbers masked), IP and device, request ID. </w:t>
            </w:r>
            <w:r>
              <w:rPr>
                <w:sz w:val="19"/>
                <w:szCs w:val="19"/>
              </w:rPr>
              <w:t xml:space="preserve">Chain check</w:t>
            </w:r>
            <w:r>
              <w:rPr>
                <w:sz w:val="19"/>
                <w:szCs w:val="19"/>
              </w:rPr>
              <w:t xml:space="preserve">: “Chain intact — checked {date time}” or, in red, “Chain break found — the tech lead has been alerted” (AUD-008).</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Search</w:t>
            </w:r>
            <w:r>
              <w:rPr>
                <w:sz w:val="19"/>
                <w:szCs w:val="19"/>
              </w:rPr>
              <w:t xml:space="preserve"> · </w:t>
            </w:r>
            <w:r>
              <w:rPr>
                <w:sz w:val="19"/>
                <w:szCs w:val="19"/>
              </w:rPr>
              <w:t xml:space="preserve">Open record</w:t>
            </w:r>
            <w:r>
              <w:rPr>
                <w:sz w:val="19"/>
                <w:szCs w:val="19"/>
              </w:rPr>
              <w:t xml:space="preserve"> · </w:t>
            </w:r>
            <w:r>
              <w:rPr>
                <w:sz w:val="19"/>
                <w:szCs w:val="19"/>
              </w:rPr>
              <w:t xml:space="preserve">Export</w:t>
            </w:r>
            <w:r>
              <w:rPr>
                <w:sz w:val="19"/>
                <w:szCs w:val="19"/>
              </w:rPr>
              <w:t xml:space="preserve"> (Super Admin only): format CSV or JSON, reason required — “Why are you exporting these records? (e.g. police request number)”; the export is recorded (AUD-007). There is no edit or delete button anywhere.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“Showing records you are allowed to see.” · “Export ready — {n} records. This export has been recorded.”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records match this search.”</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 states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“Search too wide — choose a shorter time range or add an actor or target.” · “A reason is required to export.” · Load failure with reference.</w:t>
            </w:r>
          </w:p>
        </w:tc>
      </w:tr>
    </w:tbl>
    <w:p>
      <w:pPr>
        <w:spacing w:after="120"/>
      </w:pPr>
    </w:p>
    <w:p>
      <w:pPr>
        <w:pStyle w:val="Heading2"/>
      </w:pPr>
      <w:bookmarkStart w:name="h23" w:id="23"/>
      <w:r>
        <w:t xml:space="preserve">12.10 Legal hold</w:t>
      </w:r>
      <w:bookmarkEnd w:id="23"/>
    </w:p>
    <w:p>
      <w:pPr>
        <w:spacing w:after="120" w:line="276"/>
      </w:pPr>
      <w:r>
        <w:t xml:space="preserve">A staff screen in the Operations Console layout (M15). A legal hold stops the retention job from deleting or anonymising the data it covers until the hold is released (M01-2 RET-003, RET-004). Holds are staff actions, not settings, so they do not use the approval steps of Section 12.1; every step is audited.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Specification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Admin: place and release holds. Moderator: view holds on the items they review. Other roles: no access. Moderation (M12) also places holds automatically when content is taken down; these show “Placed by: System (takedown)”.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it shows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 with tabs </w:t>
            </w:r>
            <w:r>
              <w:rPr>
                <w:sz w:val="19"/>
                <w:szCs w:val="19"/>
              </w:rPr>
              <w:t xml:space="preserve">Active</w:t>
            </w:r>
            <w:r>
              <w:rPr>
                <w:sz w:val="19"/>
                <w:szCs w:val="19"/>
              </w:rPr>
              <w:t xml:space="preserve"> and </w:t>
            </w:r>
            <w:r>
              <w:rPr>
                <w:sz w:val="19"/>
                <w:szCs w:val="19"/>
              </w:rPr>
              <w:t xml:space="preserve">Released</w:t>
            </w:r>
            <w:r>
              <w:rPr>
                <w:sz w:val="19"/>
                <w:szCs w:val="19"/>
              </w:rPr>
              <w:t xml:space="preserve">: scope (account, listing, message thread, file or legal order, with its ID and name), reason, reference (e.g. court order or police request number), placed by and date, released by, date and release reason. Filters: scope type, placed by, date. Search by ID or reference. Detail: what the hold covers, with counts (e.g. “1 account, 12 listings, 340 messages, 58 files”).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Place a hold</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Place hold</w:t>
            </w:r>
            <w:r>
              <w:rPr>
                <w:sz w:val="19"/>
                <w:szCs w:val="19"/>
              </w:rPr>
              <w:t xml:space="preserve"> → choose the scope type and enter or pick the ID → the screen shows what the hold will cover, with counts → enter the reason and reference (both required) → </w:t>
            </w:r>
            <w:r>
              <w:rPr>
                <w:sz w:val="19"/>
                <w:szCs w:val="19"/>
              </w:rPr>
              <w:t xml:space="preserve">Place hold</w:t>
            </w:r>
            <w:r>
              <w:rPr>
                <w:sz w:val="19"/>
                <w:szCs w:val="19"/>
              </w:rPr>
              <w:t xml:space="preserve">. The hold works at once; legal_hold.placed is sent.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Release a hold</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Release</w:t>
            </w:r>
            <w:r>
              <w:rPr>
                <w:sz w:val="19"/>
                <w:szCs w:val="19"/>
              </w:rPr>
              <w:t xml:space="preserve"> on an active hold → the screen shows what the next daily retention run would then delete or anonymise, e.g. “If you release this hold, 58 files and 340 messages past their retention period will be deleted at the next daily run (02:00 IST).” → release reason required → confirm. legal_hold.released is sent. Released holds stay in the list; they are never deleted.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“Hold placed. Nothing it covers will be deleted until it is released.” · “This item is already covered by hold {reference}.” · “Released. Normal retention periods apply again.”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active legal holds.”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 states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reason and a reference are required.” · “This ID doesn’t exist.” · Load or save failure with reference (Section 12.1).</w:t>
            </w:r>
          </w:p>
        </w:tc>
      </w:tr>
    </w:tbl>
    <w:p>
      <w:pPr>
        <w:spacing w:after="120"/>
      </w:pPr>
    </w:p>
    <w:p>
      <w:pPr>
        <w:pStyle w:val="Heading2"/>
      </w:pPr>
      <w:bookmarkStart w:name="h24" w:id="24"/>
      <w:r>
        <w:t xml:space="preserve">12.11 Failed jobs</w:t>
      </w:r>
      <w:bookmarkEnd w:id="24"/>
    </w:p>
    <w:p>
      <w:pPr>
        <w:spacing w:after="120" w:line="276"/>
      </w:pPr>
      <w:r>
        <w:t xml:space="preserve">A staff screen in the Operations Console layout (M15) for background jobs that failed (M01-2 EVT-002, EVT-005). A job retries by itself with growing delays; after the last retry it moves to the dead-letter list (M01-3 Section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Specification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Admin. Other roles: no access. On-call engineers use the same screen with an Admin account.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it shows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Two tabs: </w:t>
            </w:r>
            <w:r>
              <w:rPr>
                <w:sz w:val="19"/>
                <w:szCs w:val="19"/>
              </w:rPr>
              <w:t xml:space="preserve">Retrying</w:t>
            </w:r>
            <w:r>
              <w:rPr>
                <w:sz w:val="19"/>
                <w:szCs w:val="19"/>
              </w:rPr>
              <w:t xml:space="preserve"> (jobs still inside their retries, with the next try time) and </w:t>
            </w:r>
            <w:r>
              <w:rPr>
                <w:sz w:val="19"/>
                <w:szCs w:val="19"/>
              </w:rPr>
              <w:t xml:space="preserve">Dead-letter</w:t>
            </w:r>
            <w:r>
              <w:rPr>
                <w:sz w:val="19"/>
                <w:szCs w:val="19"/>
              </w:rPr>
              <w:t xml:space="preserve"> (all retries used). Each row: job kind (e.g. video.transcode, retention.run), owner module, first failure time, number of tries, last error (short text and request ID; no personal data) and target (e.g. file ID). Filters: job kind, module, date. A count per kind is shown at the top, e.g. “video.transcode: 14 dead”.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Retry</w:t>
            </w:r>
            <w:r>
              <w:rPr>
                <w:sz w:val="19"/>
                <w:szCs w:val="19"/>
              </w:rPr>
              <w:t xml:space="preserve"> one job (starts again with fresh tries) · </w:t>
            </w:r>
            <w:r>
              <w:rPr>
                <w:sz w:val="19"/>
                <w:szCs w:val="19"/>
              </w:rPr>
              <w:t xml:space="preserve">Retry all of this kind</w:t>
            </w:r>
            <w:r>
              <w:rPr>
                <w:sz w:val="19"/>
                <w:szCs w:val="19"/>
              </w:rPr>
              <w:t xml:space="preserve"> (up to 100 jobs at a time; reason required) · </w:t>
            </w:r>
            <w:r>
              <w:rPr>
                <w:sz w:val="19"/>
                <w:szCs w:val="19"/>
              </w:rPr>
              <w:t xml:space="preserve">Discard</w:t>
            </w:r>
            <w:r>
              <w:rPr>
                <w:sz w:val="19"/>
                <w:szCs w:val="19"/>
              </w:rPr>
              <w:t xml:space="preserve"> a dead job (reason required; the job stays in the list as “discarded”). Every retry and discard is written to the audit log.</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“Retry started. The job will run in the next minute.” · “Retrying doesn’t fix the cause. Check the last error first.” · “The target of this job no longer exists. Discard it instead.”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failed jobs.”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 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reason is required.” · “You can retry up to 100 jobs at a time.” · Load or save failure with reference.</w:t>
            </w:r>
          </w:p>
        </w:tc>
      </w:tr>
    </w:tbl>
    <w:p>
      <w:pPr>
        <w:spacing w:after="120"/>
      </w:pPr>
    </w:p>
    <w:p>
      <w:pPr>
        <w:spacing w:after="120" w:line="276"/>
      </w:pPr>
      <w:r>
        <w:t xml:space="preserve">An alert fires when the job backlog is older than 5 minutes (EVT-004); the alert links to this screen.</w:t>
      </w:r>
    </w:p>
    <w:p>
      <w:pPr>
        <w:pStyle w:val="Heading2"/>
      </w:pPr>
      <w:bookmarkStart w:name="h25" w:id="25"/>
      <w:r>
        <w:t xml:space="preserve">12.12 Retention policies</w:t>
      </w:r>
      <w:bookmarkEnd w:id="25"/>
    </w:p>
    <w:p>
      <w:pPr>
        <w:spacing w:after="120" w:line="276"/>
      </w:pPr>
      <w:r>
        <w:t xml:space="preserve">A settings screen in the Configuration Console shell (M16). It shows how long each type of data is kept and what happens after that (M01-2 RET-001, RET-002, RET-005). Retention periods are compliance rules, so every change is high impact and uses Section 12.1.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Specification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Admin: edit (a Super Admin who is not the editor approves). Moderator and Finance: view only. Other roles: no access.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it shows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row per data type (e.g. unattached uploads, closed accounts, chat after account closure, invoices, audit log, security logs, processing logs): period, action after the period (delete or anonymise), legal minimum, legal basis (e.g. “CERT-In Directions 2022”, “GST law”), last daily run result (items deleted or anonymised) and the number of active legal holds that cover this data type (link to Section 12.10). Periods still to be confirmed with counsel show the chip “To be confirmed with counsel”.</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Edit period / action / legal basis</w:t>
            </w:r>
            <w:r>
              <w:rPr>
                <w:sz w:val="19"/>
                <w:szCs w:val="19"/>
              </w:rPr>
              <w:t xml:space="preserve"> · Preview impact (e.g. “At the next daily run, about 1,200 unattached uploads would be deleted instead of 400”) · Send for approval · History.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legal minimum for this data type is {n} days. You can’t set a shorter period.” · “Data under a legal hold is never deleted, whatever the period.”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Not possible: every data type has a policy (added with the module that owns the data).</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 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“Enter a whole number of days.” · “Period is shorter than the legal minimum.” · Load or save failure with reference.</w:t>
            </w:r>
          </w:p>
        </w:tc>
      </w:tr>
    </w:tbl>
    <w:p>
      <w:pPr>
        <w:spacing w:after="120"/>
      </w:pPr>
    </w:p>
    <w:p>
      <w:pPr>
        <w:pStyle w:val="Heading2"/>
      </w:pPr>
      <w:bookmarkStart w:name="h26" w:id="26"/>
      <w:r>
        <w:t xml:space="preserve">12.13 Units and conversion factors</w:t>
      </w:r>
      <w:bookmarkEnd w:id="26"/>
    </w:p>
    <w:p>
      <w:pPr>
        <w:spacing w:after="120" w:line="276"/>
      </w:pPr>
      <w:r>
        <w:t xml:space="preserve">A settings screen in the Configuration Console shell (M16) for the unit list, the conversion factors and the state land-unit table (M01-2 UNT-001, UNT-008, UNT-009). It uses Section 12.1; unit and factor changes are “other” changes, so any other Admin who is not the editor approves.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Specification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Admin: edit. Moderator, Finance, Content Editor, Support: view only.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it shows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Tab </w:t>
            </w:r>
            <w:r>
              <w:rPr>
                <w:sz w:val="19"/>
                <w:szCs w:val="19"/>
              </w:rPr>
              <w:t xml:space="preserve">Units</w:t>
            </w:r>
            <w:r>
              <w:rPr>
                <w:sz w:val="19"/>
                <w:szCs w:val="19"/>
              </w:rPr>
              <w:t xml:space="preserve">: one row per unit — name, code, type (weight, volume, count, area), standard unit, factor (e.g. tola (wood) 11.66 g, oil tola 12 ml), state-based (yes / no), helper only (yes / no), number of live listings that use it, active or retired. Tab </w:t>
            </w:r>
            <w:r>
              <w:rPr>
                <w:sz w:val="19"/>
                <w:szCs w:val="19"/>
              </w:rPr>
              <w:t xml:space="preserve">Helper units</w:t>
            </w:r>
            <w:r>
              <w:rPr>
                <w:sz w:val="19"/>
                <w:szCs w:val="19"/>
              </w:rPr>
              <w:t xml:space="preserve">: which helper units are shown per viewer country (e.g. tola and mithqal for the Gulf). Tab </w:t>
            </w:r>
            <w:r>
              <w:rPr>
                <w:sz w:val="19"/>
                <w:szCs w:val="19"/>
              </w:rPr>
              <w:t xml:space="preserve">State land units</w:t>
            </w:r>
            <w:r>
              <w:rPr>
                <w:sz w:val="19"/>
                <w:szCs w:val="19"/>
              </w:rPr>
              <w:t xml:space="preserve">: one row per state and unit (bigha, katha, lessa) — state, unit, size in sq ft and m², source (the state land record that was checked, with date), active or retired. The starting values for Assam and West Bengal are in M01-2 UNT-009.</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Add unit</w:t>
            </w:r>
            <w:r>
              <w:rPr>
                <w:sz w:val="19"/>
                <w:szCs w:val="19"/>
              </w:rPr>
              <w:t xml:space="preserve"> · </w:t>
            </w:r>
            <w:r>
              <w:rPr>
                <w:sz w:val="19"/>
                <w:szCs w:val="19"/>
              </w:rPr>
              <w:t xml:space="preserve">Edit factor</w:t>
            </w:r>
            <w:r>
              <w:rPr>
                <w:sz w:val="19"/>
                <w:szCs w:val="19"/>
              </w:rPr>
              <w:t xml:space="preserve"> · </w:t>
            </w:r>
            <w:r>
              <w:rPr>
                <w:sz w:val="19"/>
                <w:szCs w:val="19"/>
              </w:rPr>
              <w:t xml:space="preserve">Retire</w:t>
            </w:r>
            <w:r>
              <w:rPr>
                <w:sz w:val="19"/>
                <w:szCs w:val="19"/>
              </w:rPr>
              <w:t xml:space="preserve"> (never delete; a unit used by live listings cannot be retired — the screen shows how many) · </w:t>
            </w:r>
            <w:r>
              <w:rPr>
                <w:sz w:val="19"/>
                <w:szCs w:val="19"/>
              </w:rPr>
              <w:t xml:space="preserve">Add state factor</w:t>
            </w:r>
            <w:r>
              <w:rPr>
                <w:sz w:val="19"/>
                <w:szCs w:val="19"/>
              </w:rPr>
              <w:t xml:space="preserve"> (state, unit, size and source are required) · Preview impact (e.g. “Changing tola (wood) from 11.66 g to 11.664 g changes the helper line on about 3,420 listings; stored metric prices do not change”) · Send for approval · History.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“Add a state only after checking that state’s land records. Enter which record you checked.” · “Sellers can choose bigha, katha or lessa only in states listed here.” · “Oil volume and weight are never converted into each other.”</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State land units for a country with no rows: “No state land units for {country}. Sellers there can’t use bigha, katha or lessa yet.”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 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“Enter a factor above 0.” · “A source is required for a state factor.” · “This unit is used by {n} live listings and can’t be retired.” · Load or save failure with reference.</w:t>
            </w:r>
          </w:p>
        </w:tc>
      </w:tr>
    </w:tbl>
    <w:p>
      <w:pPr>
        <w:spacing w:after="120"/>
      </w:pPr>
    </w:p>
    <w:p>
      <w:pPr>
        <w:pStyle w:val="Heading2"/>
      </w:pPr>
      <w:bookmarkStart w:name="h27" w:id="27"/>
      <w:r>
        <w:t xml:space="preserve">12.14 Photo location view</w:t>
      </w:r>
      <w:bookmarkEnd w:id="27"/>
    </w:p>
    <w:p>
      <w:pPr>
        <w:spacing w:after="120" w:line="276"/>
      </w:pPr>
      <w:r>
        <w:t xml:space="preserve">A panel, not a page of its own: it shows the location stored in the private original of a photo (M01-2 FIL-022, FIL-027). It opens from the photos on the M03 verification review (M03-6, screen A) and on the M06 origin-check screens. The location is never shown anywhere else.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Specification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can use it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Only staff with the verification permission (M03; the verification team is the Moderators). Other staff do not see the button at all.</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How it opens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Button </w:t>
            </w:r>
            <w:r>
              <w:rPr>
                <w:sz w:val="19"/>
                <w:szCs w:val="19"/>
              </w:rPr>
              <w:t xml:space="preserve">Show photo location</w:t>
            </w:r>
            <w:r>
              <w:rPr>
                <w:sz w:val="19"/>
                <w:szCs w:val="19"/>
              </w:rPr>
              <w:t xml:space="preserve"> under a photo → box “Why do you need the location?” with a reason list (Origin check for a listing · Origin check for a document · Farm or plantation check · Legal order) and a note field (required, e.g. the listing or case number) → </w:t>
            </w:r>
            <w:r>
              <w:rPr>
                <w:sz w:val="19"/>
                <w:szCs w:val="19"/>
              </w:rPr>
              <w:t xml:space="preserve">Show</w:t>
            </w:r>
            <w:r>
              <w:rPr>
                <w:sz w:val="19"/>
                <w:szCs w:val="19"/>
              </w:rPr>
              <w:t xml:space="preserv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it shows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small map with a pin, the coordinates, the time the photo was taken (if stored) and the distance from the address or district on the listing or profile, e.g. “About 3 km from the declared plantation district (Nagaon, Assam).” Line at the bottom: “This view is recorded with your reason.”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Rules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view writes an audit record with the reason and note (FIL-027). No copy, download or export button. The location is not copied into case notes by the screen; the staff member writes their finding in words (e.g. “Location matches declared district”).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“This photo has no stored location.” · “Location shown. This view has been recorded.”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state</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location stored for this photo.”</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 states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“Choose a reason and add a note.” · “You don’t have access to photo locations.” · Load failure with reference.</w:t>
            </w: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M01-6 UX-UI Specification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a8bf5bdd8cb1c0ec8f8d498ea3c1ac39cd6509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M01-6 UX-UI Specification</dc:title>
  <dc:creator>MRIDA INFRA AND PLANTATIONS LLP</dc:creator>
  <cp:lastModifiedBy>Un-named</cp:lastModifiedBy>
  <cp:revision>1</cp:revision>
  <dcterms:created xsi:type="dcterms:W3CDTF">2026-09-25T12:52:00.723Z</dcterms:created>
  <dcterms:modified xsi:type="dcterms:W3CDTF">2026-09-25T12:52:00.723Z</dcterms:modified>
</cp:coreProperties>
</file>

<file path=docProps/custom.xml><?xml version="1.0" encoding="utf-8"?>
<Properties xmlns="http://schemas.openxmlformats.org/officeDocument/2006/custom-properties" xmlns:vt="http://schemas.openxmlformats.org/officeDocument/2006/docPropsVTypes"/>
</file>