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345D" w:rsidRDefault="00E96820">
      <w:pPr>
        <w:spacing w:after="180"/>
      </w:pPr>
      <w:r>
        <w:rPr>
          <w:b/>
          <w:sz w:val="32"/>
          <w:szCs w:val="32"/>
        </w:rPr>
        <w:t>Introduction — working draft</w:t>
      </w:r>
    </w:p>
    <w:p w:rsidR="008C345D" w:rsidRDefault="00E96820">
      <w:r>
        <w:rPr>
          <w:i/>
          <w:color w:val="806000"/>
          <w:sz w:val="19"/>
          <w:szCs w:val="19"/>
        </w:rPr>
        <w:t>Paper 1, DATE. Target ~0.75 page. P1 is drafted; P2–P5 give the points plus suggested text to take from and rephrase. Numbers carry their source so rewording cannot break a fact.</w:t>
      </w:r>
    </w:p>
    <w:p w:rsidR="008C345D" w:rsidRDefault="00E96820">
      <w:pPr>
        <w:spacing w:after="120"/>
      </w:pPr>
      <w:r>
        <w:rPr>
          <w:b/>
          <w:sz w:val="26"/>
          <w:szCs w:val="26"/>
        </w:rPr>
        <w:t xml:space="preserve">P1 — </w:t>
      </w:r>
      <w:proofErr w:type="gramStart"/>
      <w:r>
        <w:rPr>
          <w:b/>
          <w:sz w:val="26"/>
          <w:szCs w:val="26"/>
        </w:rPr>
        <w:t>The</w:t>
      </w:r>
      <w:proofErr w:type="gramEnd"/>
      <w:r>
        <w:rPr>
          <w:b/>
          <w:sz w:val="26"/>
          <w:szCs w:val="26"/>
        </w:rPr>
        <w:t xml:space="preserve"> stage (drafted)</w:t>
      </w:r>
    </w:p>
    <w:p w:rsidR="008C345D" w:rsidRDefault="00E96820">
      <w:pPr>
        <w:spacing w:after="140"/>
      </w:pPr>
      <w:r>
        <w:t>Deep Neural Networks (DNNs) have become the dominant workload class across computing. They underpin the vast majority of AI-based applications, and DNN inference has become infrastructure, running continuously from edge devices to warehouse-scale data cent</w:t>
      </w:r>
      <w:r>
        <w:t>ers [TPU]. The latency and energy budget of DNN accelerators is therefore a first-order design metric, and a primary axis of competition among chip designers and manufacturers. Weight movement is what drives this budget in conventional accelerators [Horowi</w:t>
      </w:r>
      <w:r>
        <w:t>tz, Sze]. In-Memory Computing (IMC) eliminates weight traffic by keeping weights in place and performing Multiply-Accumulate (MAC) operations locally. This alleviates the weight-movement bottleneck, improving performance while reducing the communication en</w:t>
      </w:r>
      <w:r>
        <w:t xml:space="preserve">ergy budget and launching a new generation of IMC DNN accelerators [Sebastian, ISAAC, </w:t>
      </w:r>
      <w:proofErr w:type="gramStart"/>
      <w:r>
        <w:t>PRIME</w:t>
      </w:r>
      <w:proofErr w:type="gramEnd"/>
      <w:r>
        <w:t>].</w:t>
      </w:r>
    </w:p>
    <w:p w:rsidR="008C345D" w:rsidRDefault="00E96820">
      <w:pPr>
        <w:spacing w:after="140"/>
      </w:pPr>
      <w:r>
        <w:t>However, a single array holds nowhere near enough weights for a full DNN, making many-tile architectures inevitable. For example, one ResNet-50 block requires 736</w:t>
      </w:r>
      <w:r>
        <w:t xml:space="preserve"> crossbars (CBs) and a full network requires over ten thousand. Because ADC peripherals have a large area and power overhead, they are shared across the arrays of a tile. This limits the number of CBs that fit in a tile, resulting in the computation being </w:t>
      </w:r>
      <w:r>
        <w:t>split among hundreds or even thousands of tiles [ISAAC].</w:t>
      </w:r>
    </w:p>
    <w:p w:rsidR="008C345D" w:rsidRDefault="00E96820">
      <w:pPr>
        <w:spacing w:after="140"/>
      </w:pPr>
      <w:r>
        <w:t>The consequence is that IMC does not eliminate communication; it relocates it. What remains mobile is activation scatter traffic and, dominantly, partial-sum reduction: at the default packing, roughl</w:t>
      </w:r>
      <w:r>
        <w:t>y 82% of a block’s bytes converge on a few accumulator tiles via the on-chip network. The bottleneck that governs both performance and energy therefore becomes communication, and the design focus shifts from computation-centric to communication-centric.</w:t>
      </w:r>
    </w:p>
    <w:p w:rsidR="008C345D" w:rsidRDefault="00E96820">
      <w:r>
        <w:rPr>
          <w:i/>
          <w:color w:val="806000"/>
          <w:sz w:val="19"/>
          <w:szCs w:val="19"/>
        </w:rPr>
        <w:t>Ve</w:t>
      </w:r>
      <w:r>
        <w:rPr>
          <w:i/>
          <w:color w:val="806000"/>
          <w:sz w:val="19"/>
          <w:szCs w:val="19"/>
        </w:rPr>
        <w:t>rified: 736 CBs = conv1 4×16 + conv2 18×16 + conv3 2×64 + shortcut 4×64. 82% is the reduction share at (8</w:t>
      </w:r>
      <w:proofErr w:type="gramStart"/>
      <w:r>
        <w:rPr>
          <w:i/>
          <w:color w:val="806000"/>
          <w:sz w:val="19"/>
          <w:szCs w:val="19"/>
        </w:rPr>
        <w:t>,1,8</w:t>
      </w:r>
      <w:proofErr w:type="gramEnd"/>
      <w:r>
        <w:rPr>
          <w:i/>
          <w:color w:val="806000"/>
          <w:sz w:val="19"/>
          <w:szCs w:val="19"/>
        </w:rPr>
        <w:t>) — it is 45.6% at (8,2,4), hence “at the default packing”. 20 accumulator tiles of 92 active. ISAAC’s per-tile crossbar figure is still on the ope</w:t>
      </w:r>
      <w:r>
        <w:rPr>
          <w:i/>
          <w:color w:val="806000"/>
          <w:sz w:val="19"/>
          <w:szCs w:val="19"/>
        </w:rPr>
        <w:t>n-items list — confirm before it anchors §3.</w:t>
      </w:r>
    </w:p>
    <w:p w:rsidR="008C345D" w:rsidRDefault="00E96820">
      <w:pPr>
        <w:spacing w:after="120"/>
      </w:pPr>
      <w:r>
        <w:rPr>
          <w:b/>
          <w:sz w:val="26"/>
          <w:szCs w:val="26"/>
        </w:rPr>
        <w:t xml:space="preserve">P2 — Hook </w:t>
      </w:r>
      <w:proofErr w:type="gramStart"/>
      <w:r>
        <w:rPr>
          <w:b/>
          <w:sz w:val="26"/>
          <w:szCs w:val="26"/>
        </w:rPr>
        <w:t>A</w:t>
      </w:r>
      <w:proofErr w:type="gramEnd"/>
      <w:r>
        <w:rPr>
          <w:b/>
          <w:sz w:val="26"/>
          <w:szCs w:val="26"/>
        </w:rPr>
        <w:t>: the wrong objective</w:t>
      </w:r>
    </w:p>
    <w:p w:rsidR="008C345D" w:rsidRDefault="00E96820">
      <w:pPr>
        <w:spacing w:after="80"/>
        <w:ind w:left="360"/>
      </w:pPr>
      <w:proofErr w:type="gramStart"/>
      <w:r>
        <w:t>•  How</w:t>
      </w:r>
      <w:proofErr w:type="gramEnd"/>
      <w:r>
        <w:t xml:space="preserve"> crossbars are grouped onto tiles — the packing orientation (</w:t>
      </w:r>
      <w:proofErr w:type="spellStart"/>
      <w:r>
        <w:t>r,s</w:t>
      </w:r>
      <w:proofErr w:type="spellEnd"/>
      <w:r>
        <w:t>) at fixed per-tile density c — decides how much reduction stays on-tile and how much reaches the network.</w:t>
      </w:r>
    </w:p>
    <w:p w:rsidR="008C345D" w:rsidRDefault="00E96820">
      <w:pPr>
        <w:spacing w:after="80"/>
        <w:ind w:left="360"/>
      </w:pPr>
      <w:proofErr w:type="gramStart"/>
      <w:r>
        <w:t>•</w:t>
      </w:r>
      <w:r>
        <w:t xml:space="preserve">  Practice</w:t>
      </w:r>
      <w:proofErr w:type="gramEnd"/>
      <w:r>
        <w:t xml:space="preserve"> selects the packing on pre-</w:t>
      </w:r>
      <w:proofErr w:type="spellStart"/>
      <w:r>
        <w:t>NoC</w:t>
      </w:r>
      <w:proofErr w:type="spellEnd"/>
      <w:r>
        <w:t xml:space="preserve"> objectives: </w:t>
      </w:r>
      <w:proofErr w:type="spellStart"/>
      <w:r>
        <w:t>utilisation</w:t>
      </w:r>
      <w:proofErr w:type="spellEnd"/>
      <w:r>
        <w:t>, tile count, communication volume.</w:t>
      </w:r>
    </w:p>
    <w:p w:rsidR="008C345D" w:rsidRDefault="00E96820">
      <w:pPr>
        <w:spacing w:after="80"/>
        <w:ind w:left="360"/>
      </w:pPr>
      <w:proofErr w:type="gramStart"/>
      <w:r>
        <w:t>•  The</w:t>
      </w:r>
      <w:proofErr w:type="gramEnd"/>
      <w:r>
        <w:t xml:space="preserve"> packing fixes a placement-invariant port floor — a per-node injection/ejection rate no later mapping or routing decision can lower.</w:t>
      </w:r>
    </w:p>
    <w:p w:rsidR="008C345D" w:rsidRDefault="00E96820">
      <w:pPr>
        <w:spacing w:after="80"/>
        <w:ind w:left="360"/>
      </w:pPr>
      <w:proofErr w:type="gramStart"/>
      <w:r>
        <w:t>•  Result</w:t>
      </w:r>
      <w:proofErr w:type="gramEnd"/>
      <w:r>
        <w:t>: minim</w:t>
      </w:r>
      <w:r>
        <w:t>um-volume and minimum-floor orientations differ in 5 of the 8 (workload, density) cells where a choice exists.</w:t>
      </w:r>
    </w:p>
    <w:p w:rsidR="008C345D" w:rsidRDefault="00E96820">
      <w:pPr>
        <w:spacing w:after="140"/>
      </w:pPr>
      <w:r>
        <w:rPr>
          <w:i/>
        </w:rPr>
        <w:t>Suggested: “How the crossbars are grouped onto tiles — the packing orientation (</w:t>
      </w:r>
      <w:proofErr w:type="spellStart"/>
      <w:r>
        <w:rPr>
          <w:i/>
        </w:rPr>
        <w:t>r</w:t>
      </w:r>
      <w:proofErr w:type="gramStart"/>
      <w:r>
        <w:rPr>
          <w:i/>
        </w:rPr>
        <w:t>,s</w:t>
      </w:r>
      <w:proofErr w:type="spellEnd"/>
      <w:proofErr w:type="gramEnd"/>
      <w:r>
        <w:rPr>
          <w:i/>
        </w:rPr>
        <w:t>) at a fixed per-tile density c — decides how much of that red</w:t>
      </w:r>
      <w:r>
        <w:rPr>
          <w:i/>
        </w:rPr>
        <w:t xml:space="preserve">uction is </w:t>
      </w:r>
      <w:proofErr w:type="spellStart"/>
      <w:r>
        <w:rPr>
          <w:i/>
        </w:rPr>
        <w:t>internalised</w:t>
      </w:r>
      <w:proofErr w:type="spellEnd"/>
      <w:r>
        <w:rPr>
          <w:i/>
        </w:rPr>
        <w:t xml:space="preserve"> on-tile and how much reaches the network. Practice selects this packing on pre-</w:t>
      </w:r>
      <w:proofErr w:type="spellStart"/>
      <w:r>
        <w:rPr>
          <w:i/>
        </w:rPr>
        <w:t>NoC</w:t>
      </w:r>
      <w:proofErr w:type="spellEnd"/>
      <w:r>
        <w:rPr>
          <w:i/>
        </w:rPr>
        <w:t xml:space="preserve"> objectives: </w:t>
      </w:r>
      <w:proofErr w:type="spellStart"/>
      <w:r>
        <w:rPr>
          <w:i/>
        </w:rPr>
        <w:t>utilisation</w:t>
      </w:r>
      <w:proofErr w:type="spellEnd"/>
      <w:r>
        <w:rPr>
          <w:i/>
        </w:rPr>
        <w:t>, tile count, communication volume. We show these objectives pick the wrong point. The packing fixes a placement-invariant port</w:t>
      </w:r>
      <w:r>
        <w:rPr>
          <w:i/>
        </w:rPr>
        <w:t xml:space="preserve"> floor that no later mapping or routing decision can lower, and the minimum-volume orientation is not the minimum-floor orientation in five of the eight (workload, density) cells where a choice exists: at c = 16, ResNet-50’s minimum-volume packing carries </w:t>
      </w:r>
      <w:r>
        <w:rPr>
          <w:i/>
        </w:rPr>
        <w:t>a 2.78× higher floor than one costing only 8% more traffic.”</w:t>
      </w:r>
    </w:p>
    <w:p w:rsidR="008C345D" w:rsidRDefault="00E96820">
      <w:r>
        <w:rPr>
          <w:i/>
          <w:color w:val="806000"/>
          <w:sz w:val="19"/>
          <w:szCs w:val="19"/>
        </w:rPr>
        <w:t xml:space="preserve">Alternative headline if VGG reads better: c = 32, 2.57× floor for 7% traffic. </w:t>
      </w:r>
      <w:proofErr w:type="spellStart"/>
      <w:r>
        <w:rPr>
          <w:i/>
          <w:color w:val="806000"/>
          <w:sz w:val="19"/>
          <w:szCs w:val="19"/>
        </w:rPr>
        <w:t>DeiT</w:t>
      </w:r>
      <w:proofErr w:type="spellEnd"/>
      <w:r>
        <w:rPr>
          <w:i/>
          <w:color w:val="806000"/>
          <w:sz w:val="19"/>
          <w:szCs w:val="19"/>
        </w:rPr>
        <w:t>-S is the honest counterweight — 1.8–3.2× floor reduction but at 1.6× the traffic.</w:t>
      </w:r>
    </w:p>
    <w:p w:rsidR="008C345D" w:rsidRDefault="00E96820">
      <w:pPr>
        <w:spacing w:after="120"/>
      </w:pPr>
      <w:r>
        <w:rPr>
          <w:b/>
          <w:sz w:val="26"/>
          <w:szCs w:val="26"/>
        </w:rPr>
        <w:t>P3 — Hook B: the two regimes</w:t>
      </w:r>
    </w:p>
    <w:p w:rsidR="008C345D" w:rsidRDefault="00E96820">
      <w:pPr>
        <w:spacing w:after="80"/>
        <w:ind w:left="360"/>
      </w:pPr>
      <w:proofErr w:type="gramStart"/>
      <w:r>
        <w:lastRenderedPageBreak/>
        <w:t>•</w:t>
      </w:r>
      <w:r>
        <w:t xml:space="preserve">  The</w:t>
      </w:r>
      <w:proofErr w:type="gramEnd"/>
      <w:r>
        <w:t xml:space="preserve"> floor splits the design space in two, and which side a design sits on is decided at packing, before any mapping effort.</w:t>
      </w:r>
    </w:p>
    <w:p w:rsidR="008C345D" w:rsidRDefault="00E96820">
      <w:pPr>
        <w:spacing w:after="80"/>
        <w:ind w:left="360"/>
      </w:pPr>
      <w:proofErr w:type="gramStart"/>
      <w:r>
        <w:t>•  Below</w:t>
      </w:r>
      <w:proofErr w:type="gramEnd"/>
      <w:r>
        <w:t xml:space="preserve"> it: placement moves delay only in a band around the congestion knee — 1.34× at light load, 13.6× at the knee, 1.28× in sa</w:t>
      </w:r>
      <w:r>
        <w:t>turation.</w:t>
      </w:r>
    </w:p>
    <w:p w:rsidR="008C345D" w:rsidRDefault="00E96820">
      <w:pPr>
        <w:spacing w:after="80"/>
        <w:ind w:left="360"/>
      </w:pPr>
      <w:proofErr w:type="gramStart"/>
      <w:r>
        <w:t>•  Above</w:t>
      </w:r>
      <w:proofErr w:type="gramEnd"/>
      <w:r>
        <w:t xml:space="preserve"> it: placement takes control — 4.6–31.8× delay spreads across placements, all three workloads.</w:t>
      </w:r>
    </w:p>
    <w:p w:rsidR="008C345D" w:rsidRDefault="00E96820">
      <w:pPr>
        <w:spacing w:after="80"/>
        <w:ind w:left="360"/>
      </w:pPr>
      <w:proofErr w:type="gramStart"/>
      <w:r>
        <w:t>•  Optional</w:t>
      </w:r>
      <w:proofErr w:type="gramEnd"/>
      <w:r>
        <w:t xml:space="preserve"> clause: hop count sets where the delay curve starts; the binding load sets where it bends.</w:t>
      </w:r>
    </w:p>
    <w:p w:rsidR="008C345D" w:rsidRDefault="00E96820">
      <w:pPr>
        <w:spacing w:after="140"/>
      </w:pPr>
      <w:r>
        <w:rPr>
          <w:i/>
        </w:rPr>
        <w:t>Suggested: “That floor splits the design</w:t>
      </w:r>
      <w:r>
        <w:rPr>
          <w:i/>
        </w:rPr>
        <w:t xml:space="preserve"> space into two regimes, and which one a design occupies is decided at packing, before any mapping effort is spent. Below the floor, placement moves delay only within a band around the congestion knee. Above it, placement takes control outright, with delay</w:t>
      </w:r>
      <w:r>
        <w:rPr>
          <w:i/>
        </w:rPr>
        <w:t xml:space="preserve"> spreads of 4.6–31.8× across placements of a single packing on all three workloads. The same </w:t>
      </w:r>
      <w:proofErr w:type="spellStart"/>
      <w:r>
        <w:rPr>
          <w:i/>
        </w:rPr>
        <w:t>optimisation</w:t>
      </w:r>
      <w:proofErr w:type="spellEnd"/>
      <w:r>
        <w:rPr>
          <w:i/>
        </w:rPr>
        <w:t xml:space="preserve"> is near-worthless in one regime and decisive in the other.”</w:t>
      </w:r>
    </w:p>
    <w:p w:rsidR="008C345D" w:rsidRDefault="00E96820">
      <w:pPr>
        <w:spacing w:after="120"/>
      </w:pPr>
      <w:r>
        <w:rPr>
          <w:b/>
          <w:sz w:val="26"/>
          <w:szCs w:val="26"/>
        </w:rPr>
        <w:t>P4 — Contributions (four bullets)</w:t>
      </w:r>
    </w:p>
    <w:p w:rsidR="008C345D" w:rsidRDefault="00E96820">
      <w:pPr>
        <w:spacing w:after="80"/>
        <w:ind w:left="360"/>
      </w:pPr>
      <w:proofErr w:type="gramStart"/>
      <w:r>
        <w:t>•  Layer</w:t>
      </w:r>
      <w:proofErr w:type="gramEnd"/>
      <w:r>
        <w:t xml:space="preserve"> attribution: the port floor is the packing’s qu</w:t>
      </w:r>
      <w:r>
        <w:t>antity (placement-invariant, 5.8× span across orientations); peak link load is the placement’s (7.5× within one packing). Their maximum is where the layers meet.</w:t>
      </w:r>
    </w:p>
    <w:p w:rsidR="008C345D" w:rsidRDefault="00E96820">
      <w:pPr>
        <w:spacing w:after="80"/>
        <w:ind w:left="360"/>
      </w:pPr>
      <w:proofErr w:type="gramStart"/>
      <w:r>
        <w:t>•  A</w:t>
      </w:r>
      <w:proofErr w:type="gramEnd"/>
      <w:r>
        <w:t xml:space="preserve"> regime map: below the floor the orientation sets achievable delay (1.56–1.80× capacity at</w:t>
      </w:r>
      <w:r>
        <w:t xml:space="preserve"> fixed density) and minimum-hop mapping captures nearly all of the rest; above it placement takes control. Peak link load predicts capacity (negative in 5 of 5 populations); escape-room metrics do not.</w:t>
      </w:r>
    </w:p>
    <w:p w:rsidR="008C345D" w:rsidRDefault="00E96820">
      <w:pPr>
        <w:spacing w:after="80"/>
        <w:ind w:left="360"/>
      </w:pPr>
      <w:r>
        <w:t>•  Two faces of adaptive selection: above the floor it</w:t>
      </w:r>
      <w:r>
        <w:t xml:space="preserve"> is an unconditional throughput lever (1.15× delay, 1.36× p99, 65/71 wins); at the knee it is a robustness lever — it compresses the delay spread across placements (8 of 8 populations, up to 7.5×) by rescuing the worst ones, returning the mapping freedom c</w:t>
      </w:r>
      <w:r>
        <w:t>ongestion took away.</w:t>
      </w:r>
    </w:p>
    <w:p w:rsidR="008C345D" w:rsidRDefault="00E96820">
      <w:pPr>
        <w:spacing w:after="80"/>
        <w:ind w:left="360"/>
      </w:pPr>
      <w:proofErr w:type="gramStart"/>
      <w:r>
        <w:t>•  A</w:t>
      </w:r>
      <w:proofErr w:type="gramEnd"/>
      <w:r>
        <w:t xml:space="preserve"> negative result with a design consequence: below the floor the policy choice is placement-specific and offline-unpredictable — a per-placement oracle beats always-adaptive by 4.2% on delay and 11.6% on p99, and no offline metric c</w:t>
      </w:r>
      <w:r>
        <w:t>alls it. The residual is real and needs an online signal.</w:t>
      </w:r>
    </w:p>
    <w:p w:rsidR="008C345D" w:rsidRDefault="00E96820">
      <w:r>
        <w:rPr>
          <w:i/>
          <w:color w:val="806000"/>
          <w:sz w:val="19"/>
          <w:szCs w:val="19"/>
        </w:rPr>
        <w:t>Open: does the design rule (orientation on PF → min-CC map → then min PL → adaptive everywhere for tail) close this paragraph, or wait for Results? Claim numbers stay out of the paper.</w:t>
      </w:r>
    </w:p>
    <w:p w:rsidR="008C345D" w:rsidRDefault="00E96820">
      <w:pPr>
        <w:spacing w:after="120"/>
      </w:pPr>
      <w:r>
        <w:rPr>
          <w:b/>
          <w:sz w:val="26"/>
          <w:szCs w:val="26"/>
        </w:rPr>
        <w:t>P5 — Scope an</w:t>
      </w:r>
      <w:r>
        <w:rPr>
          <w:b/>
          <w:sz w:val="26"/>
          <w:szCs w:val="26"/>
        </w:rPr>
        <w:t xml:space="preserve">d </w:t>
      </w:r>
      <w:proofErr w:type="spellStart"/>
      <w:r>
        <w:rPr>
          <w:b/>
          <w:sz w:val="26"/>
          <w:szCs w:val="26"/>
        </w:rPr>
        <w:t>organisation</w:t>
      </w:r>
      <w:proofErr w:type="spellEnd"/>
    </w:p>
    <w:p w:rsidR="008C345D" w:rsidRDefault="00E96820">
      <w:pPr>
        <w:spacing w:after="140"/>
      </w:pPr>
      <w:r>
        <w:rPr>
          <w:i/>
        </w:rPr>
        <w:t xml:space="preserve">Suggested: “All results are cycle-accurate simulation on one 6×6×3 substrate over ResNet-50, VGG-16 and </w:t>
      </w:r>
      <w:proofErr w:type="spellStart"/>
      <w:r>
        <w:rPr>
          <w:i/>
        </w:rPr>
        <w:t>DeiT</w:t>
      </w:r>
      <w:proofErr w:type="spellEnd"/>
      <w:r>
        <w:rPr>
          <w:i/>
        </w:rPr>
        <w:t xml:space="preserve">-S blocks (approximately 20,600 runs, no failures). Thermal effects appear only as motivation for constrained placements, and the learned selection </w:t>
      </w:r>
      <w:r>
        <w:rPr>
          <w:i/>
        </w:rPr>
        <w:t>policy the final result motivates is left to follow-on work.”</w:t>
      </w:r>
    </w:p>
    <w:p w:rsidR="008C345D" w:rsidRDefault="00E96820">
      <w:r>
        <w:rPr>
          <w:i/>
          <w:color w:val="806000"/>
          <w:sz w:val="19"/>
          <w:szCs w:val="19"/>
        </w:rPr>
        <w:t xml:space="preserve">Then one </w:t>
      </w:r>
      <w:proofErr w:type="spellStart"/>
      <w:r>
        <w:rPr>
          <w:i/>
          <w:color w:val="806000"/>
          <w:sz w:val="19"/>
          <w:szCs w:val="19"/>
        </w:rPr>
        <w:t>organisation</w:t>
      </w:r>
      <w:proofErr w:type="spellEnd"/>
      <w:r>
        <w:rPr>
          <w:i/>
          <w:color w:val="806000"/>
          <w:sz w:val="19"/>
          <w:szCs w:val="19"/>
        </w:rPr>
        <w:t xml:space="preserve"> sentence.</w:t>
      </w:r>
    </w:p>
    <w:p w:rsidR="008C345D" w:rsidRDefault="00E96820">
      <w:pPr>
        <w:spacing w:after="120"/>
      </w:pPr>
      <w:r>
        <w:rPr>
          <w:b/>
          <w:sz w:val="26"/>
          <w:szCs w:val="26"/>
        </w:rPr>
        <w:t>Numbers used, with provenance</w:t>
      </w:r>
    </w:p>
    <w:p w:rsidR="008C345D" w:rsidRDefault="00E96820">
      <w:pPr>
        <w:spacing w:after="80"/>
        <w:ind w:left="360"/>
      </w:pPr>
      <w:proofErr w:type="gramStart"/>
      <w:r>
        <w:t>•  736</w:t>
      </w:r>
      <w:proofErr w:type="gramEnd"/>
      <w:r>
        <w:t xml:space="preserve"> crossbars per ResNet-50 block; over 10,000 for the full network (25.6 M </w:t>
      </w:r>
      <w:proofErr w:type="spellStart"/>
      <w:r>
        <w:t>params</w:t>
      </w:r>
      <w:proofErr w:type="spellEnd"/>
      <w:r>
        <w:t xml:space="preserve"> / 2,048 weights per 128×128 array).</w:t>
      </w:r>
    </w:p>
    <w:p w:rsidR="008C345D" w:rsidRDefault="00E96820">
      <w:pPr>
        <w:spacing w:after="80"/>
        <w:ind w:left="360"/>
      </w:pPr>
      <w:proofErr w:type="gramStart"/>
      <w:r>
        <w:t>•  92</w:t>
      </w:r>
      <w:proofErr w:type="gramEnd"/>
      <w:r>
        <w:t xml:space="preserve"> tile</w:t>
      </w:r>
      <w:r>
        <w:t>s at c = 8 on a 108-node mesh; ~1,560 tiles for the full network.</w:t>
      </w:r>
    </w:p>
    <w:p w:rsidR="008C345D" w:rsidRDefault="00E96820">
      <w:pPr>
        <w:spacing w:after="80"/>
        <w:ind w:left="360"/>
      </w:pPr>
      <w:proofErr w:type="gramStart"/>
      <w:r>
        <w:t>•  82</w:t>
      </w:r>
      <w:proofErr w:type="gramEnd"/>
      <w:r>
        <w:t>% reduction share at (8,1,8); 45.6% at (8,2,4) — packing-specific.</w:t>
      </w:r>
    </w:p>
    <w:p w:rsidR="008C345D" w:rsidRDefault="00E96820">
      <w:pPr>
        <w:spacing w:after="80"/>
        <w:ind w:left="360"/>
      </w:pPr>
      <w:proofErr w:type="gramStart"/>
      <w:r>
        <w:t>•  20</w:t>
      </w:r>
      <w:proofErr w:type="gramEnd"/>
      <w:r>
        <w:t xml:space="preserve"> accumulator tiles of 92 active; two hottest absorb 32–38% of traffic.</w:t>
      </w:r>
    </w:p>
    <w:p w:rsidR="008C345D" w:rsidRDefault="00E96820">
      <w:pPr>
        <w:spacing w:after="80"/>
        <w:ind w:left="360"/>
      </w:pPr>
      <w:proofErr w:type="gramStart"/>
      <w:r>
        <w:t>•  Port</w:t>
      </w:r>
      <w:proofErr w:type="gramEnd"/>
      <w:r>
        <w:t xml:space="preserve"> floor spans 5.8× over </w:t>
      </w:r>
      <w:proofErr w:type="spellStart"/>
      <w:r>
        <w:t>ResNet’s</w:t>
      </w:r>
      <w:proofErr w:type="spellEnd"/>
      <w:r>
        <w:t xml:space="preserve"> 11 </w:t>
      </w:r>
      <w:r>
        <w:t>feasible points; peak link load spans 7.5× within one packing.</w:t>
      </w:r>
    </w:p>
    <w:p w:rsidR="008C345D" w:rsidRDefault="00E96820">
      <w:pPr>
        <w:spacing w:after="80"/>
        <w:ind w:left="360"/>
      </w:pPr>
      <w:proofErr w:type="gramStart"/>
      <w:r>
        <w:t>•  5</w:t>
      </w:r>
      <w:proofErr w:type="gramEnd"/>
      <w:r>
        <w:t xml:space="preserve"> of 8 cells where minimum-volume and minimum-floor disagree; 2.78× floor for 8% traffic (</w:t>
      </w:r>
      <w:proofErr w:type="spellStart"/>
      <w:r>
        <w:t>ResNet</w:t>
      </w:r>
      <w:proofErr w:type="spellEnd"/>
      <w:r>
        <w:t xml:space="preserve"> c=16); 2.57× for 7% (VGG c=32).</w:t>
      </w:r>
    </w:p>
    <w:p w:rsidR="008C345D" w:rsidRDefault="00E96820">
      <w:pPr>
        <w:spacing w:after="80"/>
        <w:ind w:left="360"/>
      </w:pPr>
      <w:proofErr w:type="gramStart"/>
      <w:r>
        <w:t>•  Below</w:t>
      </w:r>
      <w:proofErr w:type="gramEnd"/>
      <w:r>
        <w:t>-floor placement spread: 1.34× / 13.6× / 1.28× across</w:t>
      </w:r>
      <w:r>
        <w:t xml:space="preserve"> load.</w:t>
      </w:r>
    </w:p>
    <w:p w:rsidR="008C345D" w:rsidRDefault="00E96820">
      <w:pPr>
        <w:spacing w:after="80"/>
        <w:ind w:left="360"/>
      </w:pPr>
      <w:proofErr w:type="gramStart"/>
      <w:r>
        <w:lastRenderedPageBreak/>
        <w:t>•  Above</w:t>
      </w:r>
      <w:proofErr w:type="gramEnd"/>
      <w:r>
        <w:t>-floor placement spread: 4.6–31.8×, three workloads.</w:t>
      </w:r>
    </w:p>
    <w:p w:rsidR="008C345D" w:rsidRDefault="00E96820">
      <w:pPr>
        <w:spacing w:after="80"/>
        <w:ind w:left="360"/>
      </w:pPr>
      <w:proofErr w:type="gramStart"/>
      <w:r>
        <w:t>•  Adaptive</w:t>
      </w:r>
      <w:proofErr w:type="gramEnd"/>
      <w:r>
        <w:t xml:space="preserve"> selection above floor: 1.153× delay, 1.364× p99, 65/71.</w:t>
      </w:r>
    </w:p>
    <w:p w:rsidR="008C345D" w:rsidRDefault="00E96820">
      <w:pPr>
        <w:spacing w:after="80"/>
        <w:ind w:left="360"/>
      </w:pPr>
      <w:proofErr w:type="gramStart"/>
      <w:r>
        <w:t>•  Spread</w:t>
      </w:r>
      <w:proofErr w:type="gramEnd"/>
      <w:r>
        <w:t xml:space="preserve"> compression: 8 of 8 qualifying populations, best 7.50×.</w:t>
      </w:r>
    </w:p>
    <w:p w:rsidR="008C345D" w:rsidRDefault="00E96820">
      <w:pPr>
        <w:spacing w:after="80"/>
        <w:ind w:left="360"/>
      </w:pPr>
      <w:proofErr w:type="gramStart"/>
      <w:r>
        <w:t>•  Oracle</w:t>
      </w:r>
      <w:proofErr w:type="gramEnd"/>
      <w:r>
        <w:t xml:space="preserve"> </w:t>
      </w:r>
      <w:proofErr w:type="spellStart"/>
      <w:r>
        <w:t>vs</w:t>
      </w:r>
      <w:proofErr w:type="spellEnd"/>
      <w:r>
        <w:t xml:space="preserve"> always-adaptive below floor: 1.042× delay</w:t>
      </w:r>
      <w:r>
        <w:t>, 1.116× p99.</w:t>
      </w:r>
    </w:p>
    <w:p w:rsidR="00E96820" w:rsidRDefault="00E96820">
      <w:pPr>
        <w:spacing w:after="80"/>
        <w:ind w:left="360"/>
      </w:pPr>
    </w:p>
    <w:p w:rsidR="00E96820" w:rsidRDefault="00E96820" w:rsidP="00E96820">
      <w:pPr>
        <w:pStyle w:val="NormalWeb"/>
      </w:pPr>
      <w:r>
        <w:rPr>
          <w:rStyle w:val="Strong"/>
        </w:rPr>
        <w:t>P1 — the stage.</w:t>
      </w:r>
      <w:r>
        <w:br/>
        <w:t xml:space="preserve">Deep-neural-network inference has become infrastructure: it runs continuously from edge devices to datacenters, and its energy and latency budget — not raw arithmetic — is what accelerator design answers to. In conventional accelerators that budget is dominated by data movement, weight fetch above all [cite]. In-memory computing (IMC) attacks this directly: weights stay resident in crossbar arrays and multiply-accumulate happens in place, eliminating weight traffic entirely and driving the current generation of IMC DNN accelerators [ISAAC/PRIME/survey]. But a real network needs hundreds of crossbars spread across many tiles — 736 for one ResNet-50 block — so IMC does not remove communication; it </w:t>
      </w:r>
      <w:r>
        <w:rPr>
          <w:rStyle w:val="Emphasis"/>
        </w:rPr>
        <w:t>relocates</w:t>
      </w:r>
      <w:r>
        <w:t xml:space="preserve"> it. What remains mobile is activations and, dominantly, partial-sum reduction: roughly 82% of the block's bytes converge on a handful of accumulator tiles across the on-chip network. The accelerator's bottleneck becomes a communication problem, and this paper studies it on a 3D </w:t>
      </w:r>
      <w:proofErr w:type="spellStart"/>
      <w:r>
        <w:t>NoC</w:t>
      </w:r>
      <w:proofErr w:type="spellEnd"/>
      <w:r>
        <w:t>.</w:t>
      </w:r>
    </w:p>
    <w:p w:rsidR="00E96820" w:rsidRDefault="00E96820" w:rsidP="00E96820">
      <w:pPr>
        <w:pStyle w:val="NormalWeb"/>
      </w:pPr>
      <w:r>
        <w:rPr>
          <w:rStyle w:val="Strong"/>
        </w:rPr>
        <w:t>P2 — hook-a.</w:t>
      </w:r>
      <w:r>
        <w:br/>
        <w:t>How the crossbars are grouped onto tiles — the packing orientation $(</w:t>
      </w:r>
      <w:proofErr w:type="spellStart"/>
      <w:r>
        <w:t>r</w:t>
      </w:r>
      <w:proofErr w:type="gramStart"/>
      <w:r>
        <w:t>,s</w:t>
      </w:r>
      <w:proofErr w:type="spellEnd"/>
      <w:proofErr w:type="gramEnd"/>
      <w:r>
        <w:t xml:space="preserve">)$ at a fixed per-tile density $c$ — decides how much of that reduction is </w:t>
      </w:r>
      <w:proofErr w:type="spellStart"/>
      <w:r>
        <w:t>internalised</w:t>
      </w:r>
      <w:proofErr w:type="spellEnd"/>
      <w:r>
        <w:t xml:space="preserve"> on-tile and how much reaches the network. Practice selects this packing on pre-</w:t>
      </w:r>
      <w:proofErr w:type="spellStart"/>
      <w:r>
        <w:t>NoC</w:t>
      </w:r>
      <w:proofErr w:type="spellEnd"/>
      <w:r>
        <w:t xml:space="preserve"> objectives: </w:t>
      </w:r>
      <w:proofErr w:type="spellStart"/>
      <w:r>
        <w:t>utilisation</w:t>
      </w:r>
      <w:proofErr w:type="spellEnd"/>
      <w:r>
        <w:t xml:space="preserve">, tile count, communication volume. We show these objectives pick the wrong point. The packing fixes a </w:t>
      </w:r>
      <w:r>
        <w:rPr>
          <w:rStyle w:val="Emphasis"/>
        </w:rPr>
        <w:t>placement-invariant port floor</w:t>
      </w:r>
      <w:r>
        <w:t xml:space="preserve"> — a per-node injection/ejection rate that no later mapping or routing decision can lower — and the minimum-volume orientation is not the minimum-floor orientation in five of the eight (workload, density) cells where a choice exists: at $c{=}16$, ResNet-50's minimum-volume packing carries a 2.78× higher floor than one costing only 8% more traffic.</w:t>
      </w:r>
    </w:p>
    <w:p w:rsidR="00E96820" w:rsidRDefault="00E96820" w:rsidP="00E96820">
      <w:pPr>
        <w:pStyle w:val="NormalWeb"/>
      </w:pPr>
      <w:r>
        <w:rPr>
          <w:rStyle w:val="Strong"/>
        </w:rPr>
        <w:t>P3 — hook-b.</w:t>
      </w:r>
      <w:r>
        <w:br/>
        <w:t xml:space="preserve">That floor splits the design space into two regimes, and which one a design occupies is decided at packing, before any mapping effort is spent. Below the floor, placement moves delay only in a band around the congestion knee — a 3.07× spread in peak link load moves mean delay 1.15× at light load, yet 13.6× at the knee. Above it, placement takes control outright: 4.6–31.8× delay spreads across placements of a single packing, on all three workloads. The same </w:t>
      </w:r>
      <w:proofErr w:type="spellStart"/>
      <w:r>
        <w:t>optimisation</w:t>
      </w:r>
      <w:proofErr w:type="spellEnd"/>
      <w:r>
        <w:t xml:space="preserve"> is near-worthless in one regime and decisive in the other.</w:t>
      </w:r>
    </w:p>
    <w:p w:rsidR="00E96820" w:rsidRDefault="00E96820" w:rsidP="00E96820">
      <w:pPr>
        <w:pStyle w:val="NormalWeb"/>
      </w:pPr>
      <w:r>
        <w:rPr>
          <w:rStyle w:val="Strong"/>
        </w:rPr>
        <w:t>P4 — contributions.</w:t>
      </w:r>
      <w:r>
        <w:t xml:space="preserve"> </w:t>
      </w:r>
      <w:r>
        <w:rPr>
          <w:rStyle w:val="Emphasis"/>
        </w:rPr>
        <w:t xml:space="preserve">(the four bullets, as agreed — layer attribution / regime map / two faces of </w:t>
      </w:r>
      <w:proofErr w:type="spellStart"/>
      <w:r>
        <w:rPr>
          <w:rStyle w:val="Emphasis"/>
        </w:rPr>
        <w:t>adaptivity</w:t>
      </w:r>
      <w:proofErr w:type="spellEnd"/>
      <w:r>
        <w:rPr>
          <w:rStyle w:val="Emphasis"/>
        </w:rPr>
        <w:t xml:space="preserve"> / the offline-unpredictable residual — plus the design-rule sentence if q3 resolves to "intro")</w:t>
      </w:r>
    </w:p>
    <w:p w:rsidR="00E96820" w:rsidRDefault="00E96820" w:rsidP="00E96820">
      <w:pPr>
        <w:pStyle w:val="NormalWeb"/>
      </w:pPr>
      <w:r>
        <w:rPr>
          <w:rStyle w:val="Strong"/>
        </w:rPr>
        <w:t>P5 — scope.</w:t>
      </w:r>
      <w:r>
        <w:br/>
        <w:t xml:space="preserve">All results are cycle-accurate simulation on one 6×6×3 substrate over ResNet-50, VGG-16 and </w:t>
      </w:r>
      <w:proofErr w:type="spellStart"/>
      <w:r>
        <w:t>DeiT</w:t>
      </w:r>
      <w:proofErr w:type="spellEnd"/>
      <w:r>
        <w:t xml:space="preserve">-S blocks (~20,600 runs); thermal appears only as motivation for constrained placements, and the learned selection policy the final result motivates is deferred to follow-on work. </w:t>
      </w:r>
      <w:r>
        <w:rPr>
          <w:rStyle w:val="Emphasis"/>
        </w:rPr>
        <w:t xml:space="preserve">(+ </w:t>
      </w:r>
      <w:proofErr w:type="spellStart"/>
      <w:proofErr w:type="gramStart"/>
      <w:r>
        <w:rPr>
          <w:rStyle w:val="Emphasis"/>
        </w:rPr>
        <w:t>organisation</w:t>
      </w:r>
      <w:proofErr w:type="spellEnd"/>
      <w:proofErr w:type="gramEnd"/>
      <w:r>
        <w:rPr>
          <w:rStyle w:val="Emphasis"/>
        </w:rPr>
        <w:t xml:space="preserve"> sentence)</w:t>
      </w:r>
    </w:p>
    <w:p w:rsidR="00E96820" w:rsidRDefault="00E96820">
      <w:pPr>
        <w:spacing w:after="80"/>
        <w:ind w:left="360"/>
      </w:pPr>
      <w:bookmarkStart w:id="0" w:name="_GoBack"/>
      <w:bookmarkEnd w:id="0"/>
    </w:p>
    <w:sectPr w:rsidR="00E96820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8C345D"/>
    <w:rsid w:val="008C345D"/>
    <w:rsid w:val="00E96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C2DB1AD-C941-4B3B-97EF-6CFC33220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968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96820"/>
    <w:rPr>
      <w:b/>
      <w:bCs/>
    </w:rPr>
  </w:style>
  <w:style w:type="character" w:styleId="Emphasis">
    <w:name w:val="Emphasis"/>
    <w:basedOn w:val="DefaultParagraphFont"/>
    <w:uiPriority w:val="20"/>
    <w:qFormat/>
    <w:rsid w:val="00E9682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95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1533</Words>
  <Characters>8740</Characters>
  <Application>Microsoft Office Word</Application>
  <DocSecurity>0</DocSecurity>
  <Lines>72</Lines>
  <Paragraphs>20</Paragraphs>
  <ScaleCrop>false</ScaleCrop>
  <Company/>
  <LinksUpToDate>false</LinksUpToDate>
  <CharactersWithSpaces>10253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nizar</cp:lastModifiedBy>
  <cp:revision>2</cp:revision>
  <dcterms:created xsi:type="dcterms:W3CDTF">2026-08-30T20:08:00Z</dcterms:created>
  <dcterms:modified xsi:type="dcterms:W3CDTF">2026-08-30T20:26:00Z</dcterms:modified>
</cp:coreProperties>
</file>