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Elsäkerhet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Stötväg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STOP, stötväg hölje → kropp → skrov, två av tre fel.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GO, handen först, JFB som skydd.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STOP markerat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Känn inte efter på spänningssatt don.</w:t>
            </w:r>
          </w:p>
        </w:tc>
      </w:tr>
    </w:tbl>
    <w:p>
      <w:pPr>
        <w:spacing w:after="80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6" w:space="0" w:color="111111"/>
          <w:left w:val="single" w:sz="16" w:space="0" w:color="111111"/>
          <w:bottom w:val="single" w:sz="16" w:space="0" w:color="111111"/>
          <w:right w:val="single" w:sz="16" w:space="0" w:color="111111"/>
          <w:insideH w:val="single" w:sz="16" w:space="0" w:color="111111"/>
          <w:insideV w:val="single" w:sz="16" w:space="0" w:color="111111"/>
        </w:tblBorders>
      </w:tblPr>
      <w:tblGrid>
        <w:gridCol w:w="5046"/>
        <w:gridCol w:w="5046"/>
      </w:tblGrid>
      <w:tr>
        <w:tc>
          <w:tcPr>
            <w:tcW w:type="dxa" w:w="5046"/>
            <w:shd w:val="clear" w:color="auto" w:fill="111111"/>
          </w:tcPr>
          <w:p>
            <w:pPr>
              <w:spacing w:before="16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32"/>
              </w:rPr>
              <w:t>STOP</w:t>
            </w:r>
          </w:p>
          <w:p>
            <w:pPr>
              <w:spacing w:after="160"/>
              <w:jc w:val="center"/>
            </w:pPr>
            <w:r>
              <w:rPr>
                <w:rFonts w:ascii="IBM Plex Sans" w:hAnsi="IBM Plex Sans" w:eastAsia="IBM Plex Sans" w:cs="IBM Plex Sans"/>
                <w:b/>
                <w:color w:val="FFFFFF"/>
                <w:sz w:val="22"/>
              </w:rPr>
              <w:t>☑ STOP</w:t>
            </w:r>
          </w:p>
        </w:tc>
        <w:tc>
          <w:tcPr>
            <w:tcW w:type="dxa" w:w="5046"/>
          </w:tcPr>
          <w:p>
            <w:pPr>
              <w:spacing w:before="16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32"/>
              </w:rPr>
              <w:t>GO</w:t>
            </w:r>
          </w:p>
          <w:p>
            <w:pPr>
              <w:spacing w:after="160"/>
              <w:jc w:val="center"/>
            </w:pPr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☐ GO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Varför (en rad):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våt magnetventil kan bära spänning. Stötväg hölje → kropp → skrov.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GO = IG.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Figur — stötväg ifylld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1  PUMPHÖLJE   ← IN: hölje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MAGNETVENTIL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0"/>
              </w:rPr>
              <w:t>~~~~ vatten ~~~~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2  HAND   ← KROPP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SKROV   3 UT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Stötväg: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hölje → kropp → skrov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 i höljet.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Genom kroppen.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Ut i skrovet.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fel ringade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 = två av tre.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Alla tre duger. Visa minst dessa två: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( packning )</w:t>
            </w:r>
          </w:p>
        </w:tc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( PE )</w:t>
            </w:r>
          </w:p>
        </w:tc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utanför IR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Tredje (utanför IR) räknas också. IG: inget ringat, eller JFB som “fel”.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 = leta inte JFB.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 = läcker det vid spänningssatt don är det elarbete.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Samma rad på båda spåren. Inte två prov.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skolessä. Inte 1 MΩ. Inte megger.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V1 · LÄRARE facit stötväg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