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single" w:sz="0" w:space="0" w:color="111111"/>
          <w:left w:val="single" w:sz="0" w:space="0" w:color="111111"/>
          <w:bottom w:val="single" w:sz="0" w:space="0" w:color="111111"/>
          <w:right w:val="single" w:sz="0" w:space="0" w:color="111111"/>
          <w:insideH w:val="single" w:sz="0" w:space="0" w:color="111111"/>
          <w:insideV w:val="single" w:sz="0" w:space="0" w:color="111111"/>
        </w:tblBorders>
      </w:tblPr>
      <w:tblGrid>
        <w:gridCol w:w="10092"/>
      </w:tblGrid>
      <w:tr>
        <w:tc>
          <w:tcPr>
            <w:tcW w:type="dxa" w:w="10092"/>
            <w:shd w:val="clear" w:color="auto" w:fill="111111"/>
          </w:tcPr>
          <w:p>
            <w:pPr>
              <w:spacing w:before="40" w:after="40"/>
              <w:jc w:val="center"/>
            </w:pPr>
            <w:r/>
            <w:r>
              <w:rPr>
                <w:rFonts w:ascii="IBM Plex Sans" w:hAnsi="IBM Plex Sans" w:eastAsia="IBM Plex Sans" w:cs="IBM Plex Sans"/>
                <w:b/>
                <w:color w:val="FFFFFF"/>
                <w:sz w:val="18"/>
              </w:rPr>
              <w:t>TILL LÄRARE  ·  INTE TILL ELEV  ·  INTE PÅ ELEV-GITHUB PAGES</w:t>
            </w:r>
          </w:p>
        </w:tc>
      </w:tr>
    </w:tbl>
    <w:p>
      <w:pPr>
        <w:spacing w:after="120"/>
      </w:pPr>
    </w:p>
    <w:tbl>
      <w:tblPr>
        <w:tblW w:type="auto" w:w="0"/>
        <w:tblLook w:firstColumn="1" w:firstRow="1" w:lastColumn="0" w:lastRow="0" w:noHBand="0" w:noVBand="1" w:val="04A0"/>
        <w:tblBorders>
          <w:top w:val="single" w:sz="0" w:space="0" w:color="111111"/>
          <w:left w:val="single" w:sz="0" w:space="0" w:color="111111"/>
          <w:bottom w:val="single" w:sz="0" w:space="0" w:color="111111"/>
          <w:right w:val="single" w:sz="0" w:space="0" w:color="111111"/>
          <w:insideH w:val="single" w:sz="0" w:space="0" w:color="111111"/>
          <w:insideV w:val="single" w:sz="0" w:space="0" w:color="111111"/>
        </w:tblBorders>
        <w:tblBorders>
          <w:top w:val="nil"/>
          <w:left w:val="nil"/>
          <w:bottom w:val="nil"/>
          <w:right w:val="nil"/>
          <w:insideH w:val="nil"/>
          <w:insideV w:val="nil"/>
        </w:tblBorders>
      </w:tblPr>
      <w:tblGrid>
        <w:gridCol w:w="2018"/>
        <w:gridCol w:w="2018"/>
        <w:gridCol w:w="2018"/>
        <w:gridCol w:w="2018"/>
        <w:gridCol w:w="2018"/>
      </w:tblGrid>
      <w:tr>
        <w:tc>
          <w:tcPr>
            <w:tcW w:type="dxa" w:w="2018"/>
            <w:shd w:val="clear" w:color="auto" w:fill="111111"/>
          </w:tcPr>
          <w:p>
            <w:pPr>
              <w:spacing w:before="40" w:after="40"/>
              <w:jc w:val="center"/>
            </w:pPr>
            <w:r/>
            <w:r>
              <w:rPr>
                <w:rFonts w:ascii="IBM Plex Sans" w:hAnsi="IBM Plex Sans" w:eastAsia="IBM Plex Sans" w:cs="IBM Plex Sans"/>
                <w:b/>
                <w:color w:val="FFFFFF"/>
                <w:sz w:val="18"/>
              </w:rPr>
              <w:t>M01</w:t>
            </w:r>
          </w:p>
        </w:tc>
        <w:tc>
          <w:tcPr>
            <w:tcW w:type="dxa" w:w="2018"/>
          </w:tcPr>
          <w:p>
            <w:pPr>
              <w:spacing w:before="40" w:after="40"/>
            </w:pPr>
            <w:r/>
            <w:r>
              <w:rPr>
                <w:rFonts w:ascii="IBM Plex Sans" w:hAnsi="IBM Plex Sans" w:eastAsia="IBM Plex Sans" w:cs="IBM Plex Sans"/>
                <w:b/>
                <w:color w:val="111111"/>
                <w:sz w:val="22"/>
              </w:rPr>
              <w:t>Elsäkerhet</w:t>
            </w:r>
          </w:p>
        </w:tc>
        <w:tc>
          <w:tcPr>
            <w:tcW w:type="dxa" w:w="2018"/>
            <w:shd w:val="clear" w:color="auto" w:fill="111111"/>
          </w:tcPr>
          <w:p>
            <w:pPr>
              <w:spacing w:before="40" w:after="40"/>
              <w:jc w:val="center"/>
            </w:pPr>
            <w:r/>
            <w:r>
              <w:rPr>
                <w:rFonts w:ascii="IBM Plex Sans" w:hAnsi="IBM Plex Sans" w:eastAsia="IBM Plex Sans" w:cs="IBM Plex Sans"/>
                <w:b/>
                <w:color w:val="FFFFFF"/>
                <w:sz w:val="18"/>
              </w:rPr>
              <w:t>V1</w:t>
            </w:r>
          </w:p>
        </w:tc>
        <w:tc>
          <w:tcPr>
            <w:tcW w:type="dxa" w:w="2018"/>
          </w:tcPr>
          <w:p>
            <w:pPr>
              <w:spacing w:before="40" w:after="40"/>
            </w:pPr>
            <w:r/>
            <w:r>
              <w:rPr>
                <w:rFonts w:ascii="IBM Plex Sans" w:hAnsi="IBM Plex Sans" w:eastAsia="IBM Plex Sans" w:cs="IBM Plex Sans"/>
                <w:b/>
                <w:color w:val="111111"/>
                <w:sz w:val="22"/>
              </w:rPr>
              <w:t>Vecka 1</w:t>
            </w:r>
          </w:p>
        </w:tc>
        <w:tc>
          <w:tcPr>
            <w:tcW w:type="dxa" w:w="2018"/>
          </w:tcPr>
          <w:p>
            <w:pPr>
              <w:spacing w:before="40" w:after="40"/>
            </w:pPr>
            <w:r/>
            <w:r>
              <w:rPr>
                <w:rFonts w:ascii="IBM Plex Sans" w:hAnsi="IBM Plex Sans" w:eastAsia="IBM Plex Sans" w:cs="IBM Plex Sans"/>
                <w:b/>
                <w:color w:val="111111"/>
                <w:sz w:val="18"/>
              </w:rPr>
              <w:t>Elteknik och ellära 45 p</w:t>
            </w:r>
          </w:p>
        </w:tc>
      </w:tr>
    </w:tbl>
    <w:p>
      <w:pPr>
        <w:spacing w:after="80"/>
      </w:pPr>
    </w:p>
    <w:p>
      <w:pPr>
        <w:spacing w:before="80" w:after="80"/>
      </w:pPr>
      <w:r>
        <w:rPr>
          <w:rFonts w:ascii="IBM Plex Sans" w:hAnsi="IBM Plex Sans" w:eastAsia="IBM Plex Sans" w:cs="IBM Plex Sans"/>
          <w:b/>
          <w:color w:val="111111"/>
          <w:sz w:val="36"/>
        </w:rPr>
        <w:t>Classroom-inlägg vecka 1 — 1.1 Stötväg ombord</w:t>
      </w:r>
    </w:p>
    <w:p>
      <w:pPr>
        <w:spacing w:before="0" w:after="120" w:line="276" w:lineRule="auto"/>
      </w:pPr>
      <w:r>
        <w:rPr>
          <w:rFonts w:ascii="IBM Plex Sans" w:hAnsi="IBM Plex Sans" w:eastAsia="IBM Plex Sans" w:cs="IBM Plex Sans"/>
          <w:b w:val="0"/>
          <w:color w:val="111111"/>
          <w:sz w:val="21"/>
        </w:rPr>
        <w:t>Klistra in som det står. Inte studentblad. Inte megger.</w:t>
      </w:r>
    </w:p>
    <w:tbl>
      <w:tblPr>
        <w:tblW w:type="auto" w:w="0"/>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10092"/>
      </w:tblGrid>
      <w:tr>
        <w:tc>
          <w:tcPr>
            <w:tcW w:type="dxa" w:w="10092"/>
          </w:tcPr>
          <w:p>
            <w:r/>
            <w:r>
              <w:rPr>
                <w:rFonts w:ascii="IBM Plex Sans" w:hAnsi="IBM Plex Sans" w:eastAsia="IBM Plex Sans" w:cs="IBM Plex Sans"/>
                <w:b w:val="0"/>
                <w:color w:val="111111"/>
                <w:sz w:val="22"/>
              </w:rPr>
              <w:t>Välkommen till vecka 1 i Elteknik och ellära: stötväg ombord, och varför du inte börjar jobba förrän risken är bedömd. Läs lektion 1.1 och se videon innan du lämnar något. Elektriker: leta inte JFB. Ingenjörer: läckagesökning är elarbete när komponenten kan vara spänningssatt. Gör veckans quiz (skall mot upplysning, och att 1 MΩ inte är lagkrav). Hemuppgift är labbprotokoll B mot fotot här i Classroom: peka stötväg in och ut, namnge minst två fel, och säg en sak du inte gör innan risken är bedömd. Megga inte den här veckan, öppna inget skåp på jobbet, och rör ingen våt komponent som läxa.</w:t>
            </w:r>
          </w:p>
        </w:tc>
      </w:tr>
    </w:tbl>
    <w:p>
      <w:pPr>
        <w:spacing w:before="0" w:after="120" w:line="276" w:lineRule="auto"/>
      </w:pPr>
      <w:r>
        <w:rPr>
          <w:rFonts w:ascii="IBM Plex Sans" w:hAnsi="IBM Plex Sans" w:eastAsia="IBM Plex Sans" w:cs="IBM Plex Sans"/>
          <w:b w:val="0"/>
          <w:color w:val="111111"/>
          <w:sz w:val="21"/>
        </w:rPr>
        <w:t>Klistra in som det står. Inte studentblad.</w:t>
      </w:r>
    </w:p>
    <w:sectPr w:rsidR="00FC693F" w:rsidRPr="0006063C" w:rsidSect="00034616">
      <w:footerReference w:type="default" r:id="rId9"/>
      <w:headerReference w:type="default" r:id="rId10"/>
      <w:pgSz w:w="11906" w:h="16838"/>
      <w:pgMar w:top="79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IBM Plex Sans" w:hAnsi="IBM Plex Sans" w:eastAsia="IBM Plex Sans" w:cs="IBM Plex Sans"/>
        <w:b/>
        <w:color w:val="111111"/>
        <w:sz w:val="16"/>
      </w:rPr>
      <w:t>Elteknik och ellära 45 p · V1 · LÄRARE inlägg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IBM Plex Sans" w:hAnsi="IBM Plex Sans" w:eastAsia="IBM Plex Sans" w:cs="IBM Plex Sans"/>
        <w:b/>
        <w:color w:val="111111"/>
        <w:sz w:val="16"/>
      </w:rPr>
      <w:t>LÄRARE — INTE TILL ELEV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eastAsia="IBM Plex Sans" w:cs="IBM Plex San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