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single" w:sz="0" w:space="0" w:color="111111"/>
          <w:left w:val="single" w:sz="0" w:space="0" w:color="111111"/>
          <w:bottom w:val="single" w:sz="0" w:space="0" w:color="111111"/>
          <w:right w:val="single" w:sz="0" w:space="0" w:color="111111"/>
          <w:insideH w:val="single" w:sz="0" w:space="0" w:color="111111"/>
          <w:insideV w:val="single" w:sz="0" w:space="0" w:color="111111"/>
        </w:tblBorders>
      </w:tblPr>
      <w:tblGrid>
        <w:gridCol w:w="10092"/>
      </w:tblGrid>
      <w:tr>
        <w:tc>
          <w:tcPr>
            <w:tcW w:type="dxa" w:w="10092"/>
            <w:shd w:val="clear" w:color="auto" w:fill="111111"/>
          </w:tcPr>
          <w:p>
            <w:pPr>
              <w:spacing w:before="40" w:after="40"/>
              <w:jc w:val="center"/>
            </w:pPr>
            <w:r/>
            <w:r>
              <w:rPr>
                <w:rFonts w:ascii="IBM Plex Sans" w:hAnsi="IBM Plex Sans" w:eastAsia="IBM Plex Sans" w:cs="IBM Plex Sans"/>
                <w:b/>
                <w:color w:val="FFFFFF"/>
                <w:sz w:val="18"/>
              </w:rPr>
              <w:t>TILL LÄRARE  ·  INTE TILL ELEV  ·  INTE PÅ ELEV-GITHUB PAGES</w:t>
            </w:r>
          </w:p>
        </w:tc>
      </w:tr>
    </w:tbl>
    <w:p>
      <w:pPr>
        <w:spacing w:after="120"/>
      </w:pPr>
    </w:p>
    <w:tbl>
      <w:tblPr>
        <w:tblW w:type="auto" w:w="0"/>
        <w:tblLook w:firstColumn="1" w:firstRow="1" w:lastColumn="0" w:lastRow="0" w:noHBand="0" w:noVBand="1" w:val="04A0"/>
        <w:tblBorders>
          <w:top w:val="single" w:sz="0" w:space="0" w:color="111111"/>
          <w:left w:val="single" w:sz="0" w:space="0" w:color="111111"/>
          <w:bottom w:val="single" w:sz="0" w:space="0" w:color="111111"/>
          <w:right w:val="single" w:sz="0" w:space="0" w:color="111111"/>
          <w:insideH w:val="single" w:sz="0" w:space="0" w:color="111111"/>
          <w:insideV w:val="single" w:sz="0" w:space="0" w:color="111111"/>
        </w:tblBorders>
        <w:tblBorders>
          <w:top w:val="nil"/>
          <w:left w:val="nil"/>
          <w:bottom w:val="nil"/>
          <w:right w:val="nil"/>
          <w:insideH w:val="nil"/>
          <w:insideV w:val="nil"/>
        </w:tblBorders>
      </w:tblPr>
      <w:tblGrid>
        <w:gridCol w:w="2018"/>
        <w:gridCol w:w="2018"/>
        <w:gridCol w:w="2018"/>
        <w:gridCol w:w="2018"/>
        <w:gridCol w:w="2018"/>
      </w:tblGrid>
      <w:tr>
        <w:tc>
          <w:tcPr>
            <w:tcW w:type="dxa" w:w="2018"/>
            <w:shd w:val="clear" w:color="auto" w:fill="111111"/>
          </w:tcPr>
          <w:p>
            <w:pPr>
              <w:spacing w:before="40" w:after="40"/>
              <w:jc w:val="center"/>
            </w:pPr>
            <w:r/>
            <w:r>
              <w:rPr>
                <w:rFonts w:ascii="IBM Plex Sans" w:hAnsi="IBM Plex Sans" w:eastAsia="IBM Plex Sans" w:cs="IBM Plex Sans"/>
                <w:b/>
                <w:color w:val="FFFFFF"/>
                <w:sz w:val="18"/>
              </w:rPr>
              <w:t>M02</w:t>
            </w:r>
          </w:p>
        </w:tc>
        <w:tc>
          <w:tcPr>
            <w:tcW w:type="dxa" w:w="2018"/>
          </w:tcPr>
          <w:p>
            <w:pPr>
              <w:spacing w:before="40" w:after="40"/>
            </w:pPr>
            <w:r/>
            <w:r>
              <w:rPr>
                <w:rFonts w:ascii="IBM Plex Sans" w:hAnsi="IBM Plex Sans" w:eastAsia="IBM Plex Sans" w:cs="IBM Plex Sans"/>
                <w:b/>
                <w:color w:val="111111"/>
                <w:sz w:val="22"/>
              </w:rPr>
              <w:t>Isolering</w:t>
            </w:r>
          </w:p>
        </w:tc>
        <w:tc>
          <w:tcPr>
            <w:tcW w:type="dxa" w:w="2018"/>
            <w:shd w:val="clear" w:color="auto" w:fill="111111"/>
          </w:tcPr>
          <w:p>
            <w:pPr>
              <w:spacing w:before="40" w:after="40"/>
              <w:jc w:val="center"/>
            </w:pPr>
            <w:r/>
            <w:r>
              <w:rPr>
                <w:rFonts w:ascii="IBM Plex Sans" w:hAnsi="IBM Plex Sans" w:eastAsia="IBM Plex Sans" w:cs="IBM Plex Sans"/>
                <w:b/>
                <w:color w:val="FFFFFF"/>
                <w:sz w:val="18"/>
              </w:rPr>
              <w:t>V2</w:t>
            </w:r>
          </w:p>
        </w:tc>
        <w:tc>
          <w:tcPr>
            <w:tcW w:type="dxa" w:w="2018"/>
          </w:tcPr>
          <w:p>
            <w:pPr>
              <w:spacing w:before="40" w:after="40"/>
            </w:pPr>
            <w:r/>
            <w:r>
              <w:rPr>
                <w:rFonts w:ascii="IBM Plex Sans" w:hAnsi="IBM Plex Sans" w:eastAsia="IBM Plex Sans" w:cs="IBM Plex Sans"/>
                <w:b/>
                <w:color w:val="111111"/>
                <w:sz w:val="22"/>
              </w:rPr>
              <w:t>Vecka 2</w:t>
            </w:r>
          </w:p>
        </w:tc>
        <w:tc>
          <w:tcPr>
            <w:tcW w:type="dxa" w:w="2018"/>
          </w:tcPr>
          <w:p>
            <w:pPr>
              <w:spacing w:before="40" w:after="40"/>
            </w:pPr>
            <w:r/>
            <w:r>
              <w:rPr>
                <w:rFonts w:ascii="IBM Plex Sans" w:hAnsi="IBM Plex Sans" w:eastAsia="IBM Plex Sans" w:cs="IBM Plex Sans"/>
                <w:b/>
                <w:color w:val="111111"/>
                <w:sz w:val="18"/>
              </w:rPr>
              <w:t>Elteknik och ellära 45 p</w:t>
            </w:r>
          </w:p>
        </w:tc>
      </w:tr>
    </w:tbl>
    <w:p>
      <w:pPr>
        <w:spacing w:after="80"/>
      </w:pPr>
    </w:p>
    <w:p>
      <w:pPr>
        <w:spacing w:before="80" w:after="80"/>
      </w:pPr>
      <w:r>
        <w:rPr>
          <w:rFonts w:ascii="IBM Plex Sans" w:hAnsi="IBM Plex Sans" w:eastAsia="IBM Plex Sans" w:cs="IBM Plex Sans"/>
          <w:b/>
          <w:color w:val="111111"/>
          <w:sz w:val="36"/>
        </w:rPr>
        <w:t>Classroom-inlägg vecka 2 — 2.1 Isolering före arbete</w:t>
      </w:r>
    </w:p>
    <w:p>
      <w:pPr>
        <w:spacing w:before="0" w:after="120" w:line="276" w:lineRule="auto"/>
      </w:pPr>
      <w:r>
        <w:rPr>
          <w:rFonts w:ascii="IBM Plex Sans" w:hAnsi="IBM Plex Sans" w:eastAsia="IBM Plex Sans" w:cs="IBM Plex Sans"/>
          <w:b w:val="0"/>
          <w:color w:val="111111"/>
          <w:sz w:val="21"/>
        </w:rPr>
        <w:t>Klistra in som det står. Inte studentblad. Inte händer-megger som läxa.</w:t>
      </w:r>
    </w:p>
    <w:tbl>
      <w:tblPr>
        <w:tblW w:type="auto" w:w="0"/>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10092"/>
      </w:tblGrid>
      <w:tr>
        <w:tc>
          <w:tcPr>
            <w:tcW w:type="dxa" w:w="10092"/>
          </w:tcPr>
          <w:p>
            <w:r/>
            <w:r>
              <w:rPr>
                <w:rFonts w:ascii="IBM Plex Sans" w:hAnsi="IBM Plex Sans" w:eastAsia="IBM Plex Sans" w:cs="IBM Plex Sans"/>
                <w:b w:val="0"/>
                <w:color w:val="111111"/>
                <w:sz w:val="22"/>
              </w:rPr>
              <w:t>Välkommen till vecka 2: isolering före arbete, på papper — inte megger med händerna som läxa. Läs lektion 2.1 innan du lämnar. Elektriker: referens är inte PE-skenan hemma. Ingenjörer: bara för att maskinen inte låter betyder det inte att den är avställd. I Classroom ligger två övningsfoton (märkta övning): IR-instrument i drift, och megger på avställd grupp med 2,4 MΩ respektive 0,4 MΩ. Fyll protokollet: kedjan i rätt ordning, vilken bild som är drift och vilken som är före arbete, och vid 0,4 MΩ spänningssätter du inte utan skriver avvikelse (1 MΩ är upplysning, inte lag). Megga inte live, öppna inget skåp på jobbet, och hoppa inte lås.</w:t>
            </w:r>
          </w:p>
        </w:tc>
      </w:tr>
    </w:tbl>
    <w:p>
      <w:pPr>
        <w:spacing w:before="0" w:after="120" w:line="276" w:lineRule="auto"/>
      </w:pPr>
      <w:r>
        <w:rPr>
          <w:rFonts w:ascii="IBM Plex Sans" w:hAnsi="IBM Plex Sans" w:eastAsia="IBM Plex Sans" w:cs="IBM Plex Sans"/>
          <w:b w:val="0"/>
          <w:color w:val="111111"/>
          <w:sz w:val="21"/>
        </w:rPr>
        <w:t>Klistra in som det står. Inte studentblad.</w:t>
      </w:r>
    </w:p>
    <w:sectPr w:rsidR="00FC693F" w:rsidRPr="0006063C" w:rsidSect="00034616">
      <w:footerReference w:type="default" r:id="rId9"/>
      <w:headerReference w:type="default" r:id="rId10"/>
      <w:pgSz w:w="11906" w:h="16838"/>
      <w:pgMar w:top="794"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rFonts w:ascii="IBM Plex Sans" w:hAnsi="IBM Plex Sans" w:eastAsia="IBM Plex Sans" w:cs="IBM Plex Sans"/>
        <w:b/>
        <w:color w:val="111111"/>
        <w:sz w:val="16"/>
      </w:rPr>
      <w:t>Elteknik och ellära 45 p · V2 · LÄRARE inlägg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IBM Plex Sans" w:hAnsi="IBM Plex Sans" w:eastAsia="IBM Plex Sans" w:cs="IBM Plex Sans"/>
        <w:b/>
        <w:color w:val="111111"/>
        <w:sz w:val="16"/>
      </w:rPr>
      <w:t>LÄRARE — INTE TILL ELEV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eastAsia="IBM Plex Sans" w:cs="IBM Plex Sans"/>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